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 seguintes arquivo não está disponível: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LayoutP_Final_Cadastro_Pessoal_5.1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Isso acontece devido à similaridade de conteúdo com os arquivos: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LayoutP_Final_Cadastro_Animal_4.1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Peço que consultem o último citado para conseguir as informações que precisarem (vai me poupar um trabalhão. Obrigada!)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 o texto da página do arquivo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LayoutP_Final_Cadastro_Pessoal_5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As informações preenchidas serão divulgadas apenas para a pessoa com a qual você realizar o processo de adoção e/ou apadrinhamento, após a formalização do processo.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