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6a5af"/>
          <w:sz w:val="24"/>
          <w:szCs w:val="24"/>
        </w:rPr>
      </w:pPr>
      <w:r w:rsidDel="00000000" w:rsidR="00000000" w:rsidRPr="00000000">
        <w:rPr>
          <w:color w:val="76a5af"/>
          <w:sz w:val="24"/>
          <w:szCs w:val="24"/>
          <w:rtl w:val="0"/>
        </w:rPr>
        <w:t xml:space="preserve">CAPÍTULO II DAS DOAÇÕES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76a5af"/>
          <w:sz w:val="24"/>
          <w:szCs w:val="24"/>
          <w:rtl w:val="0"/>
        </w:rPr>
        <w:t xml:space="preserve">Art. 4º</w:t>
      </w:r>
      <w:r w:rsidDel="00000000" w:rsidR="00000000" w:rsidRPr="00000000">
        <w:rPr>
          <w:sz w:val="24"/>
          <w:szCs w:val="24"/>
          <w:rtl w:val="0"/>
        </w:rPr>
        <w:t xml:space="preserve"> É permitida a realização de eventos de doação de cães e gatos em estabelecimentos devidamente legalizados.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1º A feira só poderá ser realizada sob a responsabilidade de pessoa física ou jurídica, de direito público ou privado, sem fins lucrativos mantenedoras ou responsáveis por cães e gatos.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2º Para identificação da entidade, associação, instituição ou pessoa promotora do evento é necessário a existência de uma placa, em local visível, no espaço de realização do evento de doação, contendo: nome do promotor, seja pessoa física ou jurídica, CPF ou CNPJ, com respectivo telefone.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3º Pet shops ou clínicas veterinárias podem promover doações de animais, desde que haja identificação do responsável pela atividade, no local de exposição dos animais, atendendo-se às exigências previstas no parágrafo anterior.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4º Os animais expostos para doação devem estar devidamente esterilizados e submetidos a controle de endo e ectoparasitas, bem como submetidos ao esquema de vacinação contra a raiva e doenças espécie-específicas, conforme respectiva faixa etária, mediante atestados.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76a5af"/>
          <w:sz w:val="24"/>
          <w:szCs w:val="24"/>
          <w:rtl w:val="0"/>
        </w:rPr>
        <w:t xml:space="preserve">Art. 5º </w:t>
      </w:r>
      <w:r w:rsidDel="00000000" w:rsidR="00000000" w:rsidRPr="00000000">
        <w:rPr>
          <w:sz w:val="24"/>
          <w:szCs w:val="24"/>
          <w:rtl w:val="0"/>
        </w:rPr>
        <w:t xml:space="preserve">As doações serão regidas por contrato específico, cujas obrigações previstas, por escrito, devem contemplar os dados qualificativos do animal, do adotante e do doador, as responsabilidades do adotante, as penalidades no caso de descumprimento, a permissão de monitoramento pelo doador e as condições de bem-estar e manutenção do animal.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Parágrafo único. Antes da consumação da doação e da assinatura do contrato, o potencial adotante deve ser amplamente informado e conscientizado sobre a convivência da família com um animal, noções de comportamento, expectativa de vida, provável porte do animal na fase adulta (no caso de filhotes), necessidades nutricionais e de saúde.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76a5af"/>
          <w:sz w:val="24"/>
          <w:szCs w:val="24"/>
          <w:rtl w:val="0"/>
        </w:rPr>
        <w:t xml:space="preserve">Art. 6º</w:t>
      </w:r>
      <w:r w:rsidDel="00000000" w:rsidR="00000000" w:rsidRPr="00000000">
        <w:rPr>
          <w:sz w:val="24"/>
          <w:szCs w:val="24"/>
          <w:rtl w:val="0"/>
        </w:rPr>
        <w:t xml:space="preserve"> No ato da doação deve ser providenciado o RGA do animal, em nome do novo proprietário.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76a5af"/>
          <w:sz w:val="24"/>
          <w:szCs w:val="24"/>
          <w:rtl w:val="0"/>
        </w:rPr>
        <w:t xml:space="preserve">Art. 7º </w:t>
      </w:r>
      <w:r w:rsidDel="00000000" w:rsidR="00000000" w:rsidRPr="00000000">
        <w:rPr>
          <w:sz w:val="24"/>
          <w:szCs w:val="24"/>
          <w:rtl w:val="0"/>
        </w:rPr>
        <w:t xml:space="preserve">Aqueles elencados no § 1º do art. 4º podem cobrar taxa de adoção do animal, devendo para tanto fornecer ao adotante recibo especificando o valor da taxa e demais gastos.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