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Note sur le jeu de données Spark</w:t>
      </w:r>
    </w:p>
    <w:p>
      <w:pPr>
        <w:jc w:val="center"/>
      </w:pPr>
      <w:r>
        <w:rPr>
          <w:color w:val="414141"/>
          <w:sz w:val="28"/>
        </w:rPr>
        <w:t>Cours d’optimisation Spark avec Scala</w:t>
      </w:r>
    </w:p>
    <w:p>
      <w:pPr>
        <w:spacing w:before="320"/>
      </w:pPr>
      <w:r>
        <w:rPr>
          <w:b/>
        </w:rPr>
        <w:t xml:space="preserve">Objet de la note. </w:t>
      </w:r>
      <w:r>
        <w:t>Ce document décrit les données créées par le script generate_course_data.scala. Le jeu de données simule une activité de commerce en ligne et contient volontairement plusieurs situations utiles pour apprendre à diagnostiquer et optimiser un programme Spark.</w:t>
      </w:r>
    </w:p>
    <w:p>
      <w:pPr>
        <w:pStyle w:val="Heading1"/>
      </w:pPr>
      <w:r>
        <w:t>Vue d’ensemble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c>
          <w:tcPr>
            <w:tcW w:type="dxa" w:w="1944"/>
            <w:shd w:fill="1F4E78"/>
            <w:vAlign w:val="center"/>
            <w:tcMar>
              <w:top w:w="85" w:type="dxa"/>
              <w:start w:w="95" w:type="dxa"/>
              <w:bottom w:w="85" w:type="dxa"/>
              <w:end w:w="95" w:type="dxa"/>
            </w:tcMar>
          </w:tcPr>
          <w:p>
            <w:pPr>
              <w:spacing w:after="0"/>
            </w:pPr>
            <w:r>
              <w:rPr>
                <w:b/>
                <w:color w:val="FFFFFF"/>
                <w:sz w:val="17"/>
              </w:rPr>
              <w:t>Dossier</w:t>
            </w:r>
          </w:p>
        </w:tc>
        <w:tc>
          <w:tcPr>
            <w:tcW w:type="dxa" w:w="2448"/>
            <w:shd w:fill="1F4E78"/>
            <w:vAlign w:val="center"/>
            <w:tcMar>
              <w:top w:w="85" w:type="dxa"/>
              <w:start w:w="95" w:type="dxa"/>
              <w:bottom w:w="85" w:type="dxa"/>
              <w:end w:w="95" w:type="dxa"/>
            </w:tcMar>
          </w:tcPr>
          <w:p>
            <w:pPr>
              <w:spacing w:after="0"/>
            </w:pPr>
            <w:r>
              <w:rPr>
                <w:b/>
                <w:color w:val="FFFFFF"/>
                <w:sz w:val="17"/>
              </w:rPr>
              <w:t>Contenu</w:t>
            </w:r>
          </w:p>
        </w:tc>
        <w:tc>
          <w:tcPr>
            <w:tcW w:type="dxa" w:w="1944"/>
            <w:shd w:fill="1F4E78"/>
            <w:vAlign w:val="center"/>
            <w:tcMar>
              <w:top w:w="85" w:type="dxa"/>
              <w:start w:w="95" w:type="dxa"/>
              <w:bottom w:w="85" w:type="dxa"/>
              <w:end w:w="95" w:type="dxa"/>
            </w:tcMar>
          </w:tcPr>
          <w:p>
            <w:pPr>
              <w:spacing w:after="0"/>
            </w:pPr>
            <w:r>
              <w:rPr>
                <w:b/>
                <w:color w:val="FFFFFF"/>
                <w:sz w:val="17"/>
              </w:rPr>
              <w:t>Volume par défaut</w:t>
            </w:r>
          </w:p>
        </w:tc>
        <w:tc>
          <w:tcPr>
            <w:tcW w:type="dxa" w:w="3024"/>
            <w:shd w:fill="1F4E78"/>
            <w:vAlign w:val="center"/>
            <w:tcMar>
              <w:top w:w="85" w:type="dxa"/>
              <w:start w:w="95" w:type="dxa"/>
              <w:bottom w:w="85" w:type="dxa"/>
              <w:end w:w="95" w:type="dxa"/>
            </w:tcMar>
          </w:tcPr>
          <w:p>
            <w:pPr>
              <w:spacing w:after="0"/>
            </w:pPr>
            <w:r>
              <w:rPr>
                <w:b/>
                <w:color w:val="FFFFFF"/>
                <w:sz w:val="17"/>
              </w:rPr>
              <w:t>But pédagogique</w:t>
            </w:r>
          </w:p>
        </w:tc>
      </w:tr>
      <w:tr>
        <w:tc>
          <w:tcPr>
            <w:tcW w:type="dxa" w:w="1944"/>
            <w:vAlign w:val="center"/>
            <w:tcMar>
              <w:top w:w="85" w:type="dxa"/>
              <w:start w:w="95" w:type="dxa"/>
              <w:bottom w:w="85" w:type="dxa"/>
              <w:end w:w="95" w:type="dxa"/>
            </w:tcMar>
          </w:tcPr>
          <w:p>
            <w:pPr>
              <w:spacing w:after="0"/>
            </w:pPr>
            <w:r>
              <w:rPr>
                <w:sz w:val="17"/>
              </w:rPr>
              <w:t>countries</w:t>
            </w:r>
          </w:p>
        </w:tc>
        <w:tc>
          <w:tcPr>
            <w:tcW w:type="dxa" w:w="2448"/>
            <w:vAlign w:val="center"/>
            <w:tcMar>
              <w:top w:w="85" w:type="dxa"/>
              <w:start w:w="95" w:type="dxa"/>
              <w:bottom w:w="85" w:type="dxa"/>
              <w:end w:w="95" w:type="dxa"/>
            </w:tcMar>
          </w:tcPr>
          <w:p>
            <w:pPr>
              <w:spacing w:after="0"/>
            </w:pPr>
            <w:r>
              <w:rPr>
                <w:sz w:val="17"/>
              </w:rPr>
              <w:t>Référentiel des pays</w:t>
            </w:r>
          </w:p>
        </w:tc>
        <w:tc>
          <w:tcPr>
            <w:tcW w:type="dxa" w:w="1944"/>
            <w:vAlign w:val="center"/>
            <w:tcMar>
              <w:top w:w="85" w:type="dxa"/>
              <w:start w:w="95" w:type="dxa"/>
              <w:bottom w:w="85" w:type="dxa"/>
              <w:end w:w="95" w:type="dxa"/>
            </w:tcMar>
          </w:tcPr>
          <w:p>
            <w:pPr>
              <w:spacing w:after="0"/>
            </w:pPr>
            <w:r>
              <w:rPr>
                <w:sz w:val="17"/>
              </w:rPr>
              <w:t>10 lignes</w:t>
            </w:r>
          </w:p>
        </w:tc>
        <w:tc>
          <w:tcPr>
            <w:tcW w:type="dxa" w:w="3024"/>
            <w:vAlign w:val="center"/>
            <w:tcMar>
              <w:top w:w="85" w:type="dxa"/>
              <w:start w:w="95" w:type="dxa"/>
              <w:bottom w:w="85" w:type="dxa"/>
              <w:end w:w="95" w:type="dxa"/>
            </w:tcMar>
          </w:tcPr>
          <w:p>
            <w:pPr>
              <w:spacing w:after="0"/>
            </w:pPr>
            <w:r>
              <w:rPr>
                <w:sz w:val="17"/>
              </w:rPr>
              <w:t>Broadcast join et dimension de référence</w:t>
            </w:r>
          </w:p>
        </w:tc>
      </w:tr>
      <w:tr>
        <w:tc>
          <w:tcPr>
            <w:tcW w:type="dxa" w:w="1944"/>
            <w:shd w:fill="EAF2F8"/>
            <w:vAlign w:val="center"/>
            <w:tcMar>
              <w:top w:w="85" w:type="dxa"/>
              <w:start w:w="95" w:type="dxa"/>
              <w:bottom w:w="85" w:type="dxa"/>
              <w:end w:w="95" w:type="dxa"/>
            </w:tcMar>
          </w:tcPr>
          <w:p>
            <w:pPr>
              <w:spacing w:after="0"/>
            </w:pPr>
            <w:r>
              <w:rPr>
                <w:sz w:val="17"/>
              </w:rPr>
              <w:t>customers</w:t>
            </w:r>
          </w:p>
        </w:tc>
        <w:tc>
          <w:tcPr>
            <w:tcW w:type="dxa" w:w="2448"/>
            <w:shd w:fill="EAF2F8"/>
            <w:vAlign w:val="center"/>
            <w:tcMar>
              <w:top w:w="85" w:type="dxa"/>
              <w:start w:w="95" w:type="dxa"/>
              <w:bottom w:w="85" w:type="dxa"/>
              <w:end w:w="95" w:type="dxa"/>
            </w:tcMar>
          </w:tcPr>
          <w:p>
            <w:pPr>
              <w:spacing w:after="0"/>
            </w:pPr>
            <w:r>
              <w:rPr>
                <w:sz w:val="17"/>
              </w:rPr>
              <w:t>Clients</w:t>
            </w:r>
          </w:p>
        </w:tc>
        <w:tc>
          <w:tcPr>
            <w:tcW w:type="dxa" w:w="1944"/>
            <w:shd w:fill="EAF2F8"/>
            <w:vAlign w:val="center"/>
            <w:tcMar>
              <w:top w:w="85" w:type="dxa"/>
              <w:start w:w="95" w:type="dxa"/>
              <w:bottom w:w="85" w:type="dxa"/>
              <w:end w:w="95" w:type="dxa"/>
            </w:tcMar>
          </w:tcPr>
          <w:p>
            <w:pPr>
              <w:spacing w:after="0"/>
            </w:pPr>
            <w:r>
              <w:rPr>
                <w:sz w:val="17"/>
              </w:rPr>
              <w:t>200 000 lignes</w:t>
            </w:r>
          </w:p>
        </w:tc>
        <w:tc>
          <w:tcPr>
            <w:tcW w:type="dxa" w:w="3024"/>
            <w:shd w:fill="EAF2F8"/>
            <w:vAlign w:val="center"/>
            <w:tcMar>
              <w:top w:w="85" w:type="dxa"/>
              <w:start w:w="95" w:type="dxa"/>
              <w:bottom w:w="85" w:type="dxa"/>
              <w:end w:w="95" w:type="dxa"/>
            </w:tcMar>
          </w:tcPr>
          <w:p>
            <w:pPr>
              <w:spacing w:after="0"/>
            </w:pPr>
            <w:r>
              <w:rPr>
                <w:sz w:val="17"/>
              </w:rPr>
              <w:t>Jointures, filtres et projection</w:t>
            </w:r>
          </w:p>
        </w:tc>
      </w:tr>
      <w:tr>
        <w:tc>
          <w:tcPr>
            <w:tcW w:type="dxa" w:w="1944"/>
            <w:vAlign w:val="center"/>
            <w:tcMar>
              <w:top w:w="85" w:type="dxa"/>
              <w:start w:w="95" w:type="dxa"/>
              <w:bottom w:w="85" w:type="dxa"/>
              <w:end w:w="95" w:type="dxa"/>
            </w:tcMar>
          </w:tcPr>
          <w:p>
            <w:pPr>
              <w:spacing w:after="0"/>
            </w:pPr>
            <w:r>
              <w:rPr>
                <w:sz w:val="17"/>
              </w:rPr>
              <w:t>orders_partitioned</w:t>
            </w:r>
          </w:p>
        </w:tc>
        <w:tc>
          <w:tcPr>
            <w:tcW w:type="dxa" w:w="2448"/>
            <w:vAlign w:val="center"/>
            <w:tcMar>
              <w:top w:w="85" w:type="dxa"/>
              <w:start w:w="95" w:type="dxa"/>
              <w:bottom w:w="85" w:type="dxa"/>
              <w:end w:w="95" w:type="dxa"/>
            </w:tcMar>
          </w:tcPr>
          <w:p>
            <w:pPr>
              <w:spacing w:after="0"/>
            </w:pPr>
            <w:r>
              <w:rPr>
                <w:sz w:val="17"/>
              </w:rPr>
              <w:t>Commandes partitionnées par date</w:t>
            </w:r>
          </w:p>
        </w:tc>
        <w:tc>
          <w:tcPr>
            <w:tcW w:type="dxa" w:w="1944"/>
            <w:vAlign w:val="center"/>
            <w:tcMar>
              <w:top w:w="85" w:type="dxa"/>
              <w:start w:w="95" w:type="dxa"/>
              <w:bottom w:w="85" w:type="dxa"/>
              <w:end w:w="95" w:type="dxa"/>
            </w:tcMar>
          </w:tcPr>
          <w:p>
            <w:pPr>
              <w:spacing w:after="0"/>
            </w:pPr>
            <w:r>
              <w:rPr>
                <w:sz w:val="17"/>
              </w:rPr>
              <w:t>2 000 000 lignes</w:t>
            </w:r>
          </w:p>
        </w:tc>
        <w:tc>
          <w:tcPr>
            <w:tcW w:type="dxa" w:w="3024"/>
            <w:vAlign w:val="center"/>
            <w:tcMar>
              <w:top w:w="85" w:type="dxa"/>
              <w:start w:w="95" w:type="dxa"/>
              <w:bottom w:w="85" w:type="dxa"/>
              <w:end w:w="95" w:type="dxa"/>
            </w:tcMar>
          </w:tcPr>
          <w:p>
            <w:pPr>
              <w:spacing w:after="0"/>
            </w:pPr>
            <w:r>
              <w:rPr>
                <w:sz w:val="17"/>
              </w:rPr>
              <w:t>Partition pruning, pushdown, skew et column pruning</w:t>
            </w:r>
          </w:p>
        </w:tc>
      </w:tr>
      <w:tr>
        <w:tc>
          <w:tcPr>
            <w:tcW w:type="dxa" w:w="1944"/>
            <w:shd w:fill="EAF2F8"/>
            <w:vAlign w:val="center"/>
            <w:tcMar>
              <w:top w:w="85" w:type="dxa"/>
              <w:start w:w="95" w:type="dxa"/>
              <w:bottom w:w="85" w:type="dxa"/>
              <w:end w:w="95" w:type="dxa"/>
            </w:tcMar>
          </w:tcPr>
          <w:p>
            <w:pPr>
              <w:spacing w:after="0"/>
            </w:pPr>
            <w:r>
              <w:rPr>
                <w:sz w:val="17"/>
              </w:rPr>
              <w:t>orders_small_files</w:t>
            </w:r>
          </w:p>
        </w:tc>
        <w:tc>
          <w:tcPr>
            <w:tcW w:type="dxa" w:w="2448"/>
            <w:shd w:fill="EAF2F8"/>
            <w:vAlign w:val="center"/>
            <w:tcMar>
              <w:top w:w="85" w:type="dxa"/>
              <w:start w:w="95" w:type="dxa"/>
              <w:bottom w:w="85" w:type="dxa"/>
              <w:end w:w="95" w:type="dxa"/>
            </w:tcMar>
          </w:tcPr>
          <w:p>
            <w:pPr>
              <w:spacing w:after="0"/>
            </w:pPr>
            <w:r>
              <w:rPr>
                <w:sz w:val="17"/>
              </w:rPr>
              <w:t>Copie fragmentée des commandes</w:t>
            </w:r>
          </w:p>
        </w:tc>
        <w:tc>
          <w:tcPr>
            <w:tcW w:type="dxa" w:w="1944"/>
            <w:shd w:fill="EAF2F8"/>
            <w:vAlign w:val="center"/>
            <w:tcMar>
              <w:top w:w="85" w:type="dxa"/>
              <w:start w:w="95" w:type="dxa"/>
              <w:bottom w:w="85" w:type="dxa"/>
              <w:end w:w="95" w:type="dxa"/>
            </w:tcMar>
          </w:tcPr>
          <w:p>
            <w:pPr>
              <w:spacing w:after="0"/>
            </w:pPr>
            <w:r>
              <w:rPr>
                <w:sz w:val="17"/>
              </w:rPr>
              <w:t>2 000 000 lignes</w:t>
            </w:r>
          </w:p>
        </w:tc>
        <w:tc>
          <w:tcPr>
            <w:tcW w:type="dxa" w:w="3024"/>
            <w:shd w:fill="EAF2F8"/>
            <w:vAlign w:val="center"/>
            <w:tcMar>
              <w:top w:w="85" w:type="dxa"/>
              <w:start w:w="95" w:type="dxa"/>
              <w:bottom w:w="85" w:type="dxa"/>
              <w:end w:w="95" w:type="dxa"/>
            </w:tcMar>
          </w:tcPr>
          <w:p>
            <w:pPr>
              <w:spacing w:after="0"/>
            </w:pPr>
            <w:r>
              <w:rPr>
                <w:sz w:val="17"/>
              </w:rPr>
              <w:t>Problème des petits fichiers</w:t>
            </w:r>
          </w:p>
        </w:tc>
      </w:tr>
      <w:tr>
        <w:tc>
          <w:tcPr>
            <w:tcW w:type="dxa" w:w="1944"/>
            <w:vAlign w:val="center"/>
            <w:tcMar>
              <w:top w:w="85" w:type="dxa"/>
              <w:start w:w="95" w:type="dxa"/>
              <w:bottom w:w="85" w:type="dxa"/>
              <w:end w:w="95" w:type="dxa"/>
            </w:tcMar>
          </w:tcPr>
          <w:p>
            <w:pPr>
              <w:spacing w:after="0"/>
            </w:pPr>
            <w:r>
              <w:rPr>
                <w:sz w:val="17"/>
              </w:rPr>
              <w:t>events</w:t>
            </w:r>
          </w:p>
        </w:tc>
        <w:tc>
          <w:tcPr>
            <w:tcW w:type="dxa" w:w="2448"/>
            <w:vAlign w:val="center"/>
            <w:tcMar>
              <w:top w:w="85" w:type="dxa"/>
              <w:start w:w="95" w:type="dxa"/>
              <w:bottom w:w="85" w:type="dxa"/>
              <w:end w:w="95" w:type="dxa"/>
            </w:tcMar>
          </w:tcPr>
          <w:p>
            <w:pPr>
              <w:spacing w:after="0"/>
            </w:pPr>
            <w:r>
              <w:rPr>
                <w:sz w:val="17"/>
              </w:rPr>
              <w:t>Événements utilisateurs</w:t>
            </w:r>
          </w:p>
        </w:tc>
        <w:tc>
          <w:tcPr>
            <w:tcW w:type="dxa" w:w="1944"/>
            <w:vAlign w:val="center"/>
            <w:tcMar>
              <w:top w:w="85" w:type="dxa"/>
              <w:start w:w="95" w:type="dxa"/>
              <w:bottom w:w="85" w:type="dxa"/>
              <w:end w:w="95" w:type="dxa"/>
            </w:tcMar>
          </w:tcPr>
          <w:p>
            <w:pPr>
              <w:spacing w:after="0"/>
            </w:pPr>
            <w:r>
              <w:rPr>
                <w:sz w:val="17"/>
              </w:rPr>
              <w:t>3 000 000 lignes</w:t>
            </w:r>
          </w:p>
        </w:tc>
        <w:tc>
          <w:tcPr>
            <w:tcW w:type="dxa" w:w="3024"/>
            <w:vAlign w:val="center"/>
            <w:tcMar>
              <w:top w:w="85" w:type="dxa"/>
              <w:start w:w="95" w:type="dxa"/>
              <w:bottom w:w="85" w:type="dxa"/>
              <w:end w:w="95" w:type="dxa"/>
            </w:tcMar>
          </w:tcPr>
          <w:p>
            <w:pPr>
              <w:spacing w:after="0"/>
            </w:pPr>
            <w:r>
              <w:rPr>
                <w:sz w:val="17"/>
              </w:rPr>
              <w:t>Agrégations, cache, partitionnement et skew</w:t>
            </w:r>
          </w:p>
        </w:tc>
      </w:tr>
    </w:tbl>
    <w:p>
      <w:pPr>
        <w:pStyle w:val="Heading1"/>
      </w:pPr>
      <w:r>
        <w:t>Relations principales</w:t>
      </w:r>
    </w:p>
    <w:p>
      <w:pPr>
        <w:pStyle w:val="ListBullet"/>
      </w:pPr>
      <w:r>
        <w:t>customers.country_code → countries.country_code</w:t>
      </w:r>
    </w:p>
    <w:p>
      <w:pPr>
        <w:pStyle w:val="ListBullet"/>
      </w:pPr>
      <w:r>
        <w:t>orders.customer_id → customers.customer_id</w:t>
      </w:r>
    </w:p>
    <w:p>
      <w:pPr>
        <w:pStyle w:val="ListBullet"/>
      </w:pPr>
      <w:r>
        <w:t>events.user_id → customers.customer_id</w:t>
      </w:r>
    </w:p>
    <w:p>
      <w:pPr>
        <w:pStyle w:val="ListBullet"/>
      </w:pPr>
      <w:r>
        <w:t>orders.country → countries.country_code</w:t>
      </w:r>
    </w:p>
    <w:p>
      <w:r>
        <w:br w:type="page"/>
      </w:r>
    </w:p>
    <w:p>
      <w:pPr>
        <w:pStyle w:val="Heading1"/>
      </w:pPr>
      <w:r>
        <w:t>Paramètres de génération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880"/>
            <w:shd w:fill="1F4E78"/>
            <w:vAlign w:val="center"/>
            <w:tcMar>
              <w:top w:w="85" w:type="dxa"/>
              <w:start w:w="95" w:type="dxa"/>
              <w:bottom w:w="85" w:type="dxa"/>
              <w:end w:w="95" w:type="dxa"/>
            </w:tcMar>
          </w:tcPr>
          <w:p>
            <w:pPr>
              <w:spacing w:after="0"/>
            </w:pPr>
            <w:r>
              <w:rPr>
                <w:b/>
                <w:color w:val="FFFFFF"/>
                <w:sz w:val="17"/>
              </w:rPr>
              <w:t>Variable</w:t>
            </w:r>
          </w:p>
        </w:tc>
        <w:tc>
          <w:tcPr>
            <w:tcW w:type="dxa" w:w="2232"/>
            <w:shd w:fill="1F4E78"/>
            <w:vAlign w:val="center"/>
            <w:tcMar>
              <w:top w:w="85" w:type="dxa"/>
              <w:start w:w="95" w:type="dxa"/>
              <w:bottom w:w="85" w:type="dxa"/>
              <w:end w:w="95" w:type="dxa"/>
            </w:tcMar>
          </w:tcPr>
          <w:p>
            <w:pPr>
              <w:spacing w:after="0"/>
            </w:pPr>
            <w:r>
              <w:rPr>
                <w:b/>
                <w:color w:val="FFFFFF"/>
                <w:sz w:val="17"/>
              </w:rPr>
              <w:t>Valeur par défaut</w:t>
            </w:r>
          </w:p>
        </w:tc>
        <w:tc>
          <w:tcPr>
            <w:tcW w:type="dxa" w:w="4320"/>
            <w:shd w:fill="1F4E78"/>
            <w:vAlign w:val="center"/>
            <w:tcMar>
              <w:top w:w="85" w:type="dxa"/>
              <w:start w:w="95" w:type="dxa"/>
              <w:bottom w:w="85" w:type="dxa"/>
              <w:end w:w="95" w:type="dxa"/>
            </w:tcMar>
          </w:tcPr>
          <w:p>
            <w:pPr>
              <w:spacing w:after="0"/>
            </w:pPr>
            <w:r>
              <w:rPr>
                <w:b/>
                <w:color w:val="FFFFFF"/>
                <w:sz w:val="17"/>
              </w:rPr>
              <w:t>Rôle</w:t>
            </w:r>
          </w:p>
        </w:tc>
      </w:tr>
      <w:tr>
        <w:tc>
          <w:tcPr>
            <w:tcW w:type="dxa" w:w="2880"/>
            <w:vAlign w:val="center"/>
            <w:tcMar>
              <w:top w:w="85" w:type="dxa"/>
              <w:start w:w="95" w:type="dxa"/>
              <w:bottom w:w="85" w:type="dxa"/>
              <w:end w:w="95" w:type="dxa"/>
            </w:tcMar>
          </w:tcPr>
          <w:p>
            <w:pPr>
              <w:spacing w:after="0"/>
            </w:pPr>
            <w:r>
              <w:rPr>
                <w:sz w:val="17"/>
              </w:rPr>
              <w:t>COURSE_DATA_PATH</w:t>
            </w:r>
          </w:p>
        </w:tc>
        <w:tc>
          <w:tcPr>
            <w:tcW w:type="dxa" w:w="2232"/>
            <w:vAlign w:val="center"/>
            <w:tcMar>
              <w:top w:w="85" w:type="dxa"/>
              <w:start w:w="95" w:type="dxa"/>
              <w:bottom w:w="85" w:type="dxa"/>
              <w:end w:w="95" w:type="dxa"/>
            </w:tcMar>
          </w:tcPr>
          <w:p>
            <w:pPr>
              <w:spacing w:after="0"/>
            </w:pPr>
            <w:r>
              <w:rPr>
                <w:sz w:val="17"/>
              </w:rPr>
              <w:t>./spark-course-data</w:t>
            </w:r>
          </w:p>
        </w:tc>
        <w:tc>
          <w:tcPr>
            <w:tcW w:type="dxa" w:w="4320"/>
            <w:vAlign w:val="center"/>
            <w:tcMar>
              <w:top w:w="85" w:type="dxa"/>
              <w:start w:w="95" w:type="dxa"/>
              <w:bottom w:w="85" w:type="dxa"/>
              <w:end w:w="95" w:type="dxa"/>
            </w:tcMar>
          </w:tcPr>
          <w:p>
            <w:pPr>
              <w:spacing w:after="0"/>
            </w:pPr>
            <w:r>
              <w:rPr>
                <w:sz w:val="17"/>
              </w:rPr>
              <w:t>Répertoire racine de sortie</w:t>
            </w:r>
          </w:p>
        </w:tc>
      </w:tr>
      <w:tr>
        <w:tc>
          <w:tcPr>
            <w:tcW w:type="dxa" w:w="2880"/>
            <w:shd w:fill="EAF2F8"/>
            <w:vAlign w:val="center"/>
            <w:tcMar>
              <w:top w:w="85" w:type="dxa"/>
              <w:start w:w="95" w:type="dxa"/>
              <w:bottom w:w="85" w:type="dxa"/>
              <w:end w:w="95" w:type="dxa"/>
            </w:tcMar>
          </w:tcPr>
          <w:p>
            <w:pPr>
              <w:spacing w:after="0"/>
            </w:pPr>
            <w:r>
              <w:rPr>
                <w:sz w:val="17"/>
              </w:rPr>
              <w:t>CUSTOMER_COUNT</w:t>
            </w:r>
          </w:p>
        </w:tc>
        <w:tc>
          <w:tcPr>
            <w:tcW w:type="dxa" w:w="2232"/>
            <w:shd w:fill="EAF2F8"/>
            <w:vAlign w:val="center"/>
            <w:tcMar>
              <w:top w:w="85" w:type="dxa"/>
              <w:start w:w="95" w:type="dxa"/>
              <w:bottom w:w="85" w:type="dxa"/>
              <w:end w:w="95" w:type="dxa"/>
            </w:tcMar>
          </w:tcPr>
          <w:p>
            <w:pPr>
              <w:spacing w:after="0"/>
            </w:pPr>
            <w:r>
              <w:rPr>
                <w:sz w:val="17"/>
              </w:rPr>
              <w:t>200000</w:t>
            </w:r>
          </w:p>
        </w:tc>
        <w:tc>
          <w:tcPr>
            <w:tcW w:type="dxa" w:w="4320"/>
            <w:shd w:fill="EAF2F8"/>
            <w:vAlign w:val="center"/>
            <w:tcMar>
              <w:top w:w="85" w:type="dxa"/>
              <w:start w:w="95" w:type="dxa"/>
              <w:bottom w:w="85" w:type="dxa"/>
              <w:end w:w="95" w:type="dxa"/>
            </w:tcMar>
          </w:tcPr>
          <w:p>
            <w:pPr>
              <w:spacing w:after="0"/>
            </w:pPr>
            <w:r>
              <w:rPr>
                <w:sz w:val="17"/>
              </w:rPr>
              <w:t>Nombre de clients</w:t>
            </w:r>
          </w:p>
        </w:tc>
      </w:tr>
      <w:tr>
        <w:tc>
          <w:tcPr>
            <w:tcW w:type="dxa" w:w="2880"/>
            <w:vAlign w:val="center"/>
            <w:tcMar>
              <w:top w:w="85" w:type="dxa"/>
              <w:start w:w="95" w:type="dxa"/>
              <w:bottom w:w="85" w:type="dxa"/>
              <w:end w:w="95" w:type="dxa"/>
            </w:tcMar>
          </w:tcPr>
          <w:p>
            <w:pPr>
              <w:spacing w:after="0"/>
            </w:pPr>
            <w:r>
              <w:rPr>
                <w:sz w:val="17"/>
              </w:rPr>
              <w:t>ORDER_COUNT</w:t>
            </w:r>
          </w:p>
        </w:tc>
        <w:tc>
          <w:tcPr>
            <w:tcW w:type="dxa" w:w="2232"/>
            <w:vAlign w:val="center"/>
            <w:tcMar>
              <w:top w:w="85" w:type="dxa"/>
              <w:start w:w="95" w:type="dxa"/>
              <w:bottom w:w="85" w:type="dxa"/>
              <w:end w:w="95" w:type="dxa"/>
            </w:tcMar>
          </w:tcPr>
          <w:p>
            <w:pPr>
              <w:spacing w:after="0"/>
            </w:pPr>
            <w:r>
              <w:rPr>
                <w:sz w:val="17"/>
              </w:rPr>
              <w:t>2000000</w:t>
            </w:r>
          </w:p>
        </w:tc>
        <w:tc>
          <w:tcPr>
            <w:tcW w:type="dxa" w:w="4320"/>
            <w:vAlign w:val="center"/>
            <w:tcMar>
              <w:top w:w="85" w:type="dxa"/>
              <w:start w:w="95" w:type="dxa"/>
              <w:bottom w:w="85" w:type="dxa"/>
              <w:end w:w="95" w:type="dxa"/>
            </w:tcMar>
          </w:tcPr>
          <w:p>
            <w:pPr>
              <w:spacing w:after="0"/>
            </w:pPr>
            <w:r>
              <w:rPr>
                <w:sz w:val="17"/>
              </w:rPr>
              <w:t>Nombre de commandes</w:t>
            </w:r>
          </w:p>
        </w:tc>
      </w:tr>
      <w:tr>
        <w:tc>
          <w:tcPr>
            <w:tcW w:type="dxa" w:w="2880"/>
            <w:shd w:fill="EAF2F8"/>
            <w:vAlign w:val="center"/>
            <w:tcMar>
              <w:top w:w="85" w:type="dxa"/>
              <w:start w:w="95" w:type="dxa"/>
              <w:bottom w:w="85" w:type="dxa"/>
              <w:end w:w="95" w:type="dxa"/>
            </w:tcMar>
          </w:tcPr>
          <w:p>
            <w:pPr>
              <w:spacing w:after="0"/>
            </w:pPr>
            <w:r>
              <w:rPr>
                <w:sz w:val="17"/>
              </w:rPr>
              <w:t>EVENT_COUNT</w:t>
            </w:r>
          </w:p>
        </w:tc>
        <w:tc>
          <w:tcPr>
            <w:tcW w:type="dxa" w:w="2232"/>
            <w:shd w:fill="EAF2F8"/>
            <w:vAlign w:val="center"/>
            <w:tcMar>
              <w:top w:w="85" w:type="dxa"/>
              <w:start w:w="95" w:type="dxa"/>
              <w:bottom w:w="85" w:type="dxa"/>
              <w:end w:w="95" w:type="dxa"/>
            </w:tcMar>
          </w:tcPr>
          <w:p>
            <w:pPr>
              <w:spacing w:after="0"/>
            </w:pPr>
            <w:r>
              <w:rPr>
                <w:sz w:val="17"/>
              </w:rPr>
              <w:t>3000000</w:t>
            </w:r>
          </w:p>
        </w:tc>
        <w:tc>
          <w:tcPr>
            <w:tcW w:type="dxa" w:w="4320"/>
            <w:shd w:fill="EAF2F8"/>
            <w:vAlign w:val="center"/>
            <w:tcMar>
              <w:top w:w="85" w:type="dxa"/>
              <w:start w:w="95" w:type="dxa"/>
              <w:bottom w:w="85" w:type="dxa"/>
              <w:end w:w="95" w:type="dxa"/>
            </w:tcMar>
          </w:tcPr>
          <w:p>
            <w:pPr>
              <w:spacing w:after="0"/>
            </w:pPr>
            <w:r>
              <w:rPr>
                <w:sz w:val="17"/>
              </w:rPr>
              <w:t>Nombre d’événements</w:t>
            </w:r>
          </w:p>
        </w:tc>
      </w:tr>
      <w:tr>
        <w:tc>
          <w:tcPr>
            <w:tcW w:type="dxa" w:w="2880"/>
            <w:vAlign w:val="center"/>
            <w:tcMar>
              <w:top w:w="85" w:type="dxa"/>
              <w:start w:w="95" w:type="dxa"/>
              <w:bottom w:w="85" w:type="dxa"/>
              <w:end w:w="95" w:type="dxa"/>
            </w:tcMar>
          </w:tcPr>
          <w:p>
            <w:pPr>
              <w:spacing w:after="0"/>
            </w:pPr>
            <w:r>
              <w:rPr>
                <w:sz w:val="17"/>
              </w:rPr>
              <w:t>NORMAL_PARTITIONS</w:t>
            </w:r>
          </w:p>
        </w:tc>
        <w:tc>
          <w:tcPr>
            <w:tcW w:type="dxa" w:w="2232"/>
            <w:vAlign w:val="center"/>
            <w:tcMar>
              <w:top w:w="85" w:type="dxa"/>
              <w:start w:w="95" w:type="dxa"/>
              <w:bottom w:w="85" w:type="dxa"/>
              <w:end w:w="95" w:type="dxa"/>
            </w:tcMar>
          </w:tcPr>
          <w:p>
            <w:pPr>
              <w:spacing w:after="0"/>
            </w:pPr>
            <w:r>
              <w:rPr>
                <w:sz w:val="17"/>
              </w:rPr>
              <w:t>32</w:t>
            </w:r>
          </w:p>
        </w:tc>
        <w:tc>
          <w:tcPr>
            <w:tcW w:type="dxa" w:w="4320"/>
            <w:vAlign w:val="center"/>
            <w:tcMar>
              <w:top w:w="85" w:type="dxa"/>
              <w:start w:w="95" w:type="dxa"/>
              <w:bottom w:w="85" w:type="dxa"/>
              <w:end w:w="95" w:type="dxa"/>
            </w:tcMar>
          </w:tcPr>
          <w:p>
            <w:pPr>
              <w:spacing w:after="0"/>
            </w:pPr>
            <w:r>
              <w:rPr>
                <w:sz w:val="17"/>
              </w:rPr>
              <w:t>Nombre normal de partitions d’écriture</w:t>
            </w:r>
          </w:p>
        </w:tc>
      </w:tr>
      <w:tr>
        <w:tc>
          <w:tcPr>
            <w:tcW w:type="dxa" w:w="2880"/>
            <w:shd w:fill="EAF2F8"/>
            <w:vAlign w:val="center"/>
            <w:tcMar>
              <w:top w:w="85" w:type="dxa"/>
              <w:start w:w="95" w:type="dxa"/>
              <w:bottom w:w="85" w:type="dxa"/>
              <w:end w:w="95" w:type="dxa"/>
            </w:tcMar>
          </w:tcPr>
          <w:p>
            <w:pPr>
              <w:spacing w:after="0"/>
            </w:pPr>
            <w:r>
              <w:rPr>
                <w:sz w:val="17"/>
              </w:rPr>
              <w:t>SMALL_FILE_PARTITIONS</w:t>
            </w:r>
          </w:p>
        </w:tc>
        <w:tc>
          <w:tcPr>
            <w:tcW w:type="dxa" w:w="2232"/>
            <w:shd w:fill="EAF2F8"/>
            <w:vAlign w:val="center"/>
            <w:tcMar>
              <w:top w:w="85" w:type="dxa"/>
              <w:start w:w="95" w:type="dxa"/>
              <w:bottom w:w="85" w:type="dxa"/>
              <w:end w:w="95" w:type="dxa"/>
            </w:tcMar>
          </w:tcPr>
          <w:p>
            <w:pPr>
              <w:spacing w:after="0"/>
            </w:pPr>
            <w:r>
              <w:rPr>
                <w:sz w:val="17"/>
              </w:rPr>
              <w:t>240</w:t>
            </w:r>
          </w:p>
        </w:tc>
        <w:tc>
          <w:tcPr>
            <w:tcW w:type="dxa" w:w="4320"/>
            <w:shd w:fill="EAF2F8"/>
            <w:vAlign w:val="center"/>
            <w:tcMar>
              <w:top w:w="85" w:type="dxa"/>
              <w:start w:w="95" w:type="dxa"/>
              <w:bottom w:w="85" w:type="dxa"/>
              <w:end w:w="95" w:type="dxa"/>
            </w:tcMar>
          </w:tcPr>
          <w:p>
            <w:pPr>
              <w:spacing w:after="0"/>
            </w:pPr>
            <w:r>
              <w:rPr>
                <w:sz w:val="17"/>
              </w:rPr>
              <w:t>Nombre élevé de partitions pour le laboratoire small files</w:t>
            </w:r>
          </w:p>
        </w:tc>
      </w:tr>
      <w:tr>
        <w:tc>
          <w:tcPr>
            <w:tcW w:type="dxa" w:w="2880"/>
            <w:vAlign w:val="center"/>
            <w:tcMar>
              <w:top w:w="85" w:type="dxa"/>
              <w:start w:w="95" w:type="dxa"/>
              <w:bottom w:w="85" w:type="dxa"/>
              <w:end w:w="95" w:type="dxa"/>
            </w:tcMar>
          </w:tcPr>
          <w:p>
            <w:pPr>
              <w:spacing w:after="0"/>
            </w:pPr>
            <w:r>
              <w:rPr>
                <w:sz w:val="17"/>
              </w:rPr>
              <w:t>OVERWRITE</w:t>
            </w:r>
          </w:p>
        </w:tc>
        <w:tc>
          <w:tcPr>
            <w:tcW w:type="dxa" w:w="2232"/>
            <w:vAlign w:val="center"/>
            <w:tcMar>
              <w:top w:w="85" w:type="dxa"/>
              <w:start w:w="95" w:type="dxa"/>
              <w:bottom w:w="85" w:type="dxa"/>
              <w:end w:w="95" w:type="dxa"/>
            </w:tcMar>
          </w:tcPr>
          <w:p>
            <w:pPr>
              <w:spacing w:after="0"/>
            </w:pPr>
            <w:r>
              <w:rPr>
                <w:sz w:val="17"/>
              </w:rPr>
              <w:t>true</w:t>
            </w:r>
          </w:p>
        </w:tc>
        <w:tc>
          <w:tcPr>
            <w:tcW w:type="dxa" w:w="4320"/>
            <w:vAlign w:val="center"/>
            <w:tcMar>
              <w:top w:w="85" w:type="dxa"/>
              <w:start w:w="95" w:type="dxa"/>
              <w:bottom w:w="85" w:type="dxa"/>
              <w:end w:w="95" w:type="dxa"/>
            </w:tcMar>
          </w:tcPr>
          <w:p>
            <w:pPr>
              <w:spacing w:after="0"/>
            </w:pPr>
            <w:r>
              <w:rPr>
                <w:sz w:val="17"/>
              </w:rPr>
              <w:t>Écrase les sorties existantes si true</w:t>
            </w:r>
          </w:p>
        </w:tc>
      </w:tr>
    </w:tbl>
    <w:p>
      <w:pPr>
        <w:pStyle w:val="Heading1"/>
      </w:pPr>
      <w:r>
        <w:t>Table countries</w:t>
      </w:r>
    </w:p>
    <w:p>
      <w:r>
        <w:t>Petit référentiel statique de dix pays. Il constitue le candidat naturel pour une jointure par broadcast.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088"/>
            <w:shd w:fill="1F4E78"/>
            <w:vAlign w:val="center"/>
            <w:tcMar>
              <w:top w:w="85" w:type="dxa"/>
              <w:start w:w="95" w:type="dxa"/>
              <w:bottom w:w="85" w:type="dxa"/>
              <w:end w:w="95" w:type="dxa"/>
            </w:tcMar>
          </w:tcPr>
          <w:p>
            <w:pPr>
              <w:spacing w:after="0"/>
            </w:pPr>
            <w:r>
              <w:rPr>
                <w:b/>
                <w:color w:val="FFFFFF"/>
                <w:sz w:val="17"/>
              </w:rPr>
              <w:t>Colonne</w:t>
            </w:r>
          </w:p>
        </w:tc>
        <w:tc>
          <w:tcPr>
            <w:tcW w:type="dxa" w:w="1512"/>
            <w:shd w:fill="1F4E78"/>
            <w:vAlign w:val="center"/>
            <w:tcMar>
              <w:top w:w="85" w:type="dxa"/>
              <w:start w:w="95" w:type="dxa"/>
              <w:bottom w:w="85" w:type="dxa"/>
              <w:end w:w="95" w:type="dxa"/>
            </w:tcMar>
          </w:tcPr>
          <w:p>
            <w:pPr>
              <w:spacing w:after="0"/>
            </w:pPr>
            <w:r>
              <w:rPr>
                <w:b/>
                <w:color w:val="FFFFFF"/>
                <w:sz w:val="17"/>
              </w:rPr>
              <w:t>Type</w:t>
            </w:r>
          </w:p>
        </w:tc>
        <w:tc>
          <w:tcPr>
            <w:tcW w:type="dxa" w:w="5760"/>
            <w:shd w:fill="1F4E78"/>
            <w:vAlign w:val="center"/>
            <w:tcMar>
              <w:top w:w="85" w:type="dxa"/>
              <w:start w:w="95" w:type="dxa"/>
              <w:bottom w:w="85" w:type="dxa"/>
              <w:end w:w="95" w:type="dxa"/>
            </w:tcMar>
          </w:tcPr>
          <w:p>
            <w:pPr>
              <w:spacing w:after="0"/>
            </w:pPr>
            <w:r>
              <w:rPr>
                <w:b/>
                <w:color w:val="FFFFFF"/>
                <w:sz w:val="17"/>
              </w:rPr>
              <w:t>Description et règle de génération</w:t>
            </w:r>
          </w:p>
        </w:tc>
      </w:tr>
      <w:tr>
        <w:tc>
          <w:tcPr>
            <w:tcW w:type="dxa" w:w="2088"/>
            <w:vAlign w:val="center"/>
            <w:tcMar>
              <w:top w:w="85" w:type="dxa"/>
              <w:start w:w="95" w:type="dxa"/>
              <w:bottom w:w="85" w:type="dxa"/>
              <w:end w:w="95" w:type="dxa"/>
            </w:tcMar>
          </w:tcPr>
          <w:p>
            <w:pPr>
              <w:spacing w:after="0"/>
            </w:pPr>
            <w:r>
              <w:rPr>
                <w:sz w:val="17"/>
              </w:rPr>
              <w:t>country_code</w:t>
            </w:r>
          </w:p>
        </w:tc>
        <w:tc>
          <w:tcPr>
            <w:tcW w:type="dxa" w:w="1512"/>
            <w:vAlign w:val="center"/>
            <w:tcMar>
              <w:top w:w="85" w:type="dxa"/>
              <w:start w:w="95" w:type="dxa"/>
              <w:bottom w:w="85" w:type="dxa"/>
              <w:end w:w="95" w:type="dxa"/>
            </w:tcMar>
          </w:tcPr>
          <w:p>
            <w:pPr>
              <w:spacing w:after="0"/>
            </w:pPr>
            <w:r>
              <w:rPr>
                <w:sz w:val="17"/>
              </w:rPr>
              <w:t>String</w:t>
            </w:r>
          </w:p>
        </w:tc>
        <w:tc>
          <w:tcPr>
            <w:tcW w:type="dxa" w:w="5760"/>
            <w:vAlign w:val="center"/>
            <w:tcMar>
              <w:top w:w="85" w:type="dxa"/>
              <w:start w:w="95" w:type="dxa"/>
              <w:bottom w:w="85" w:type="dxa"/>
              <w:end w:w="95" w:type="dxa"/>
            </w:tcMar>
          </w:tcPr>
          <w:p>
            <w:pPr>
              <w:spacing w:after="0"/>
            </w:pPr>
            <w:r>
              <w:rPr>
                <w:sz w:val="17"/>
              </w:rPr>
              <w:t>Code à deux lettres parmi TG, FR, IT, DE, BE, GH, CI, SN, US et GB.</w:t>
            </w:r>
          </w:p>
        </w:tc>
      </w:tr>
      <w:tr>
        <w:tc>
          <w:tcPr>
            <w:tcW w:type="dxa" w:w="2088"/>
            <w:shd w:fill="EAF2F8"/>
            <w:vAlign w:val="center"/>
            <w:tcMar>
              <w:top w:w="85" w:type="dxa"/>
              <w:start w:w="95" w:type="dxa"/>
              <w:bottom w:w="85" w:type="dxa"/>
              <w:end w:w="95" w:type="dxa"/>
            </w:tcMar>
          </w:tcPr>
          <w:p>
            <w:pPr>
              <w:spacing w:after="0"/>
            </w:pPr>
            <w:r>
              <w:rPr>
                <w:sz w:val="17"/>
              </w:rPr>
              <w:t>country_name</w:t>
            </w:r>
          </w:p>
        </w:tc>
        <w:tc>
          <w:tcPr>
            <w:tcW w:type="dxa" w:w="1512"/>
            <w:shd w:fill="EAF2F8"/>
            <w:vAlign w:val="center"/>
            <w:tcMar>
              <w:top w:w="85" w:type="dxa"/>
              <w:start w:w="95" w:type="dxa"/>
              <w:bottom w:w="85" w:type="dxa"/>
              <w:end w:w="95" w:type="dxa"/>
            </w:tcMar>
          </w:tcPr>
          <w:p>
            <w:pPr>
              <w:spacing w:after="0"/>
            </w:pPr>
            <w:r>
              <w:rPr>
                <w:sz w:val="17"/>
              </w:rPr>
              <w:t>String</w:t>
            </w:r>
          </w:p>
        </w:tc>
        <w:tc>
          <w:tcPr>
            <w:tcW w:type="dxa" w:w="5760"/>
            <w:shd w:fill="EAF2F8"/>
            <w:vAlign w:val="center"/>
            <w:tcMar>
              <w:top w:w="85" w:type="dxa"/>
              <w:start w:w="95" w:type="dxa"/>
              <w:bottom w:w="85" w:type="dxa"/>
              <w:end w:w="95" w:type="dxa"/>
            </w:tcMar>
          </w:tcPr>
          <w:p>
            <w:pPr>
              <w:spacing w:after="0"/>
            </w:pPr>
            <w:r>
              <w:rPr>
                <w:sz w:val="17"/>
              </w:rPr>
              <w:t>Nom complet du pays.</w:t>
            </w:r>
          </w:p>
        </w:tc>
      </w:tr>
      <w:tr>
        <w:tc>
          <w:tcPr>
            <w:tcW w:type="dxa" w:w="2088"/>
            <w:vAlign w:val="center"/>
            <w:tcMar>
              <w:top w:w="85" w:type="dxa"/>
              <w:start w:w="95" w:type="dxa"/>
              <w:bottom w:w="85" w:type="dxa"/>
              <w:end w:w="95" w:type="dxa"/>
            </w:tcMar>
          </w:tcPr>
          <w:p>
            <w:pPr>
              <w:spacing w:after="0"/>
            </w:pPr>
            <w:r>
              <w:rPr>
                <w:sz w:val="17"/>
              </w:rPr>
              <w:t>region</w:t>
            </w:r>
          </w:p>
        </w:tc>
        <w:tc>
          <w:tcPr>
            <w:tcW w:type="dxa" w:w="1512"/>
            <w:vAlign w:val="center"/>
            <w:tcMar>
              <w:top w:w="85" w:type="dxa"/>
              <w:start w:w="95" w:type="dxa"/>
              <w:bottom w:w="85" w:type="dxa"/>
              <w:end w:w="95" w:type="dxa"/>
            </w:tcMar>
          </w:tcPr>
          <w:p>
            <w:pPr>
              <w:spacing w:after="0"/>
            </w:pPr>
            <w:r>
              <w:rPr>
                <w:sz w:val="17"/>
              </w:rPr>
              <w:t>String</w:t>
            </w:r>
          </w:p>
        </w:tc>
        <w:tc>
          <w:tcPr>
            <w:tcW w:type="dxa" w:w="5760"/>
            <w:vAlign w:val="center"/>
            <w:tcMar>
              <w:top w:w="85" w:type="dxa"/>
              <w:start w:w="95" w:type="dxa"/>
              <w:bottom w:w="85" w:type="dxa"/>
              <w:end w:w="95" w:type="dxa"/>
            </w:tcMar>
          </w:tcPr>
          <w:p>
            <w:pPr>
              <w:spacing w:after="0"/>
            </w:pPr>
            <w:r>
              <w:rPr>
                <w:sz w:val="17"/>
              </w:rPr>
              <w:t>Europe, West Africa ou North America.</w:t>
            </w:r>
          </w:p>
        </w:tc>
      </w:tr>
      <w:tr>
        <w:tc>
          <w:tcPr>
            <w:tcW w:type="dxa" w:w="2088"/>
            <w:shd w:fill="EAF2F8"/>
            <w:vAlign w:val="center"/>
            <w:tcMar>
              <w:top w:w="85" w:type="dxa"/>
              <w:start w:w="95" w:type="dxa"/>
              <w:bottom w:w="85" w:type="dxa"/>
              <w:end w:w="95" w:type="dxa"/>
            </w:tcMar>
          </w:tcPr>
          <w:p>
            <w:pPr>
              <w:spacing w:after="0"/>
            </w:pPr>
            <w:r>
              <w:rPr>
                <w:sz w:val="17"/>
              </w:rPr>
              <w:t>active</w:t>
            </w:r>
          </w:p>
        </w:tc>
        <w:tc>
          <w:tcPr>
            <w:tcW w:type="dxa" w:w="1512"/>
            <w:shd w:fill="EAF2F8"/>
            <w:vAlign w:val="center"/>
            <w:tcMar>
              <w:top w:w="85" w:type="dxa"/>
              <w:start w:w="95" w:type="dxa"/>
              <w:bottom w:w="85" w:type="dxa"/>
              <w:end w:w="95" w:type="dxa"/>
            </w:tcMar>
          </w:tcPr>
          <w:p>
            <w:pPr>
              <w:spacing w:after="0"/>
            </w:pPr>
            <w:r>
              <w:rPr>
                <w:sz w:val="17"/>
              </w:rPr>
              <w:t>Boolean</w:t>
            </w:r>
          </w:p>
        </w:tc>
        <w:tc>
          <w:tcPr>
            <w:tcW w:type="dxa" w:w="5760"/>
            <w:shd w:fill="EAF2F8"/>
            <w:vAlign w:val="center"/>
            <w:tcMar>
              <w:top w:w="85" w:type="dxa"/>
              <w:start w:w="95" w:type="dxa"/>
              <w:bottom w:w="85" w:type="dxa"/>
              <w:end w:w="95" w:type="dxa"/>
            </w:tcMar>
          </w:tcPr>
          <w:p>
            <w:pPr>
              <w:spacing w:after="0"/>
            </w:pPr>
            <w:r>
              <w:rPr>
                <w:sz w:val="17"/>
              </w:rPr>
              <w:t>Tous les pays sont actifs sauf le Royaume-Uni.</w:t>
            </w:r>
          </w:p>
        </w:tc>
      </w:tr>
    </w:tbl>
    <w:p>
      <w:r>
        <w:br w:type="page"/>
      </w:r>
    </w:p>
    <w:p>
      <w:pPr>
        <w:pStyle w:val="Heading1"/>
      </w:pPr>
      <w:r>
        <w:t>Table customers</w:t>
      </w:r>
    </w:p>
    <w:p>
      <w:r>
        <w:t>Dimension client générée avec spark.range. Les valeurs sont déterministes et réparties régulièrement afin de faciliter les comparaisons entre exécutions.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088"/>
            <w:shd w:fill="1F4E78"/>
            <w:vAlign w:val="center"/>
            <w:tcMar>
              <w:top w:w="85" w:type="dxa"/>
              <w:start w:w="95" w:type="dxa"/>
              <w:bottom w:w="85" w:type="dxa"/>
              <w:end w:w="95" w:type="dxa"/>
            </w:tcMar>
          </w:tcPr>
          <w:p>
            <w:pPr>
              <w:spacing w:after="0"/>
            </w:pPr>
            <w:r>
              <w:rPr>
                <w:b/>
                <w:color w:val="FFFFFF"/>
                <w:sz w:val="17"/>
              </w:rPr>
              <w:t>Colonne</w:t>
            </w:r>
          </w:p>
        </w:tc>
        <w:tc>
          <w:tcPr>
            <w:tcW w:type="dxa" w:w="1512"/>
            <w:shd w:fill="1F4E78"/>
            <w:vAlign w:val="center"/>
            <w:tcMar>
              <w:top w:w="85" w:type="dxa"/>
              <w:start w:w="95" w:type="dxa"/>
              <w:bottom w:w="85" w:type="dxa"/>
              <w:end w:w="95" w:type="dxa"/>
            </w:tcMar>
          </w:tcPr>
          <w:p>
            <w:pPr>
              <w:spacing w:after="0"/>
            </w:pPr>
            <w:r>
              <w:rPr>
                <w:b/>
                <w:color w:val="FFFFFF"/>
                <w:sz w:val="17"/>
              </w:rPr>
              <w:t>Type</w:t>
            </w:r>
          </w:p>
        </w:tc>
        <w:tc>
          <w:tcPr>
            <w:tcW w:type="dxa" w:w="5760"/>
            <w:shd w:fill="1F4E78"/>
            <w:vAlign w:val="center"/>
            <w:tcMar>
              <w:top w:w="85" w:type="dxa"/>
              <w:start w:w="95" w:type="dxa"/>
              <w:bottom w:w="85" w:type="dxa"/>
              <w:end w:w="95" w:type="dxa"/>
            </w:tcMar>
          </w:tcPr>
          <w:p>
            <w:pPr>
              <w:spacing w:after="0"/>
            </w:pPr>
            <w:r>
              <w:rPr>
                <w:b/>
                <w:color w:val="FFFFFF"/>
                <w:sz w:val="17"/>
              </w:rPr>
              <w:t>Description et règle de génération</w:t>
            </w:r>
          </w:p>
        </w:tc>
      </w:tr>
      <w:tr>
        <w:tc>
          <w:tcPr>
            <w:tcW w:type="dxa" w:w="2088"/>
            <w:vAlign w:val="center"/>
            <w:tcMar>
              <w:top w:w="85" w:type="dxa"/>
              <w:start w:w="95" w:type="dxa"/>
              <w:bottom w:w="85" w:type="dxa"/>
              <w:end w:w="95" w:type="dxa"/>
            </w:tcMar>
          </w:tcPr>
          <w:p>
            <w:pPr>
              <w:spacing w:after="0"/>
            </w:pPr>
            <w:r>
              <w:rPr>
                <w:sz w:val="17"/>
              </w:rPr>
              <w:t>customer_id</w:t>
            </w:r>
          </w:p>
        </w:tc>
        <w:tc>
          <w:tcPr>
            <w:tcW w:type="dxa" w:w="1512"/>
            <w:vAlign w:val="center"/>
            <w:tcMar>
              <w:top w:w="85" w:type="dxa"/>
              <w:start w:w="95" w:type="dxa"/>
              <w:bottom w:w="85" w:type="dxa"/>
              <w:end w:w="95" w:type="dxa"/>
            </w:tcMar>
          </w:tcPr>
          <w:p>
            <w:pPr>
              <w:spacing w:after="0"/>
            </w:pPr>
            <w:r>
              <w:rPr>
                <w:sz w:val="17"/>
              </w:rPr>
              <w:t>Long</w:t>
            </w:r>
          </w:p>
        </w:tc>
        <w:tc>
          <w:tcPr>
            <w:tcW w:type="dxa" w:w="5760"/>
            <w:vAlign w:val="center"/>
            <w:tcMar>
              <w:top w:w="85" w:type="dxa"/>
              <w:start w:w="95" w:type="dxa"/>
              <w:bottom w:w="85" w:type="dxa"/>
              <w:end w:w="95" w:type="dxa"/>
            </w:tcMar>
          </w:tcPr>
          <w:p>
            <w:pPr>
              <w:spacing w:after="0"/>
            </w:pPr>
            <w:r>
              <w:rPr>
                <w:sz w:val="17"/>
              </w:rPr>
              <w:t>Identifiant compris entre 1 et CUSTOMER_COUNT.</w:t>
            </w:r>
          </w:p>
        </w:tc>
      </w:tr>
      <w:tr>
        <w:tc>
          <w:tcPr>
            <w:tcW w:type="dxa" w:w="2088"/>
            <w:shd w:fill="EAF2F8"/>
            <w:vAlign w:val="center"/>
            <w:tcMar>
              <w:top w:w="85" w:type="dxa"/>
              <w:start w:w="95" w:type="dxa"/>
              <w:bottom w:w="85" w:type="dxa"/>
              <w:end w:w="95" w:type="dxa"/>
            </w:tcMar>
          </w:tcPr>
          <w:p>
            <w:pPr>
              <w:spacing w:after="0"/>
            </w:pPr>
            <w:r>
              <w:rPr>
                <w:sz w:val="17"/>
              </w:rPr>
              <w:t>customer_name</w:t>
            </w:r>
          </w:p>
        </w:tc>
        <w:tc>
          <w:tcPr>
            <w:tcW w:type="dxa" w:w="1512"/>
            <w:shd w:fill="EAF2F8"/>
            <w:vAlign w:val="center"/>
            <w:tcMar>
              <w:top w:w="85" w:type="dxa"/>
              <w:start w:w="95" w:type="dxa"/>
              <w:bottom w:w="85" w:type="dxa"/>
              <w:end w:w="95" w:type="dxa"/>
            </w:tcMar>
          </w:tcPr>
          <w:p>
            <w:pPr>
              <w:spacing w:after="0"/>
            </w:pPr>
            <w:r>
              <w:rPr>
                <w:sz w:val="17"/>
              </w:rPr>
              <w:t>String</w:t>
            </w:r>
          </w:p>
        </w:tc>
        <w:tc>
          <w:tcPr>
            <w:tcW w:type="dxa" w:w="5760"/>
            <w:shd w:fill="EAF2F8"/>
            <w:vAlign w:val="center"/>
            <w:tcMar>
              <w:top w:w="85" w:type="dxa"/>
              <w:start w:w="95" w:type="dxa"/>
              <w:bottom w:w="85" w:type="dxa"/>
              <w:end w:w="95" w:type="dxa"/>
            </w:tcMar>
          </w:tcPr>
          <w:p>
            <w:pPr>
              <w:spacing w:after="0"/>
            </w:pPr>
            <w:r>
              <w:rPr>
                <w:sz w:val="17"/>
              </w:rPr>
              <w:t>Valeur Customer suivie de l’identifiant.</w:t>
            </w:r>
          </w:p>
        </w:tc>
      </w:tr>
      <w:tr>
        <w:tc>
          <w:tcPr>
            <w:tcW w:type="dxa" w:w="2088"/>
            <w:vAlign w:val="center"/>
            <w:tcMar>
              <w:top w:w="85" w:type="dxa"/>
              <w:start w:w="95" w:type="dxa"/>
              <w:bottom w:w="85" w:type="dxa"/>
              <w:end w:w="95" w:type="dxa"/>
            </w:tcMar>
          </w:tcPr>
          <w:p>
            <w:pPr>
              <w:spacing w:after="0"/>
            </w:pPr>
            <w:r>
              <w:rPr>
                <w:sz w:val="17"/>
              </w:rPr>
              <w:t>country_code</w:t>
            </w:r>
          </w:p>
        </w:tc>
        <w:tc>
          <w:tcPr>
            <w:tcW w:type="dxa" w:w="1512"/>
            <w:vAlign w:val="center"/>
            <w:tcMar>
              <w:top w:w="85" w:type="dxa"/>
              <w:start w:w="95" w:type="dxa"/>
              <w:bottom w:w="85" w:type="dxa"/>
              <w:end w:w="95" w:type="dxa"/>
            </w:tcMar>
          </w:tcPr>
          <w:p>
            <w:pPr>
              <w:spacing w:after="0"/>
            </w:pPr>
            <w:r>
              <w:rPr>
                <w:sz w:val="17"/>
              </w:rPr>
              <w:t>String</w:t>
            </w:r>
          </w:p>
        </w:tc>
        <w:tc>
          <w:tcPr>
            <w:tcW w:type="dxa" w:w="5760"/>
            <w:vAlign w:val="center"/>
            <w:tcMar>
              <w:top w:w="85" w:type="dxa"/>
              <w:start w:w="95" w:type="dxa"/>
              <w:bottom w:w="85" w:type="dxa"/>
              <w:end w:w="95" w:type="dxa"/>
            </w:tcMar>
          </w:tcPr>
          <w:p>
            <w:pPr>
              <w:spacing w:after="0"/>
            </w:pPr>
            <w:r>
              <w:rPr>
                <w:sz w:val="17"/>
              </w:rPr>
              <w:t>Répartition cyclique entre les dix codes pays.</w:t>
            </w:r>
          </w:p>
        </w:tc>
      </w:tr>
      <w:tr>
        <w:tc>
          <w:tcPr>
            <w:tcW w:type="dxa" w:w="2088"/>
            <w:shd w:fill="EAF2F8"/>
            <w:vAlign w:val="center"/>
            <w:tcMar>
              <w:top w:w="85" w:type="dxa"/>
              <w:start w:w="95" w:type="dxa"/>
              <w:bottom w:w="85" w:type="dxa"/>
              <w:end w:w="95" w:type="dxa"/>
            </w:tcMar>
          </w:tcPr>
          <w:p>
            <w:pPr>
              <w:spacing w:after="0"/>
            </w:pPr>
            <w:r>
              <w:rPr>
                <w:sz w:val="17"/>
              </w:rPr>
              <w:t>segment</w:t>
            </w:r>
          </w:p>
        </w:tc>
        <w:tc>
          <w:tcPr>
            <w:tcW w:type="dxa" w:w="1512"/>
            <w:shd w:fill="EAF2F8"/>
            <w:vAlign w:val="center"/>
            <w:tcMar>
              <w:top w:w="85" w:type="dxa"/>
              <w:start w:w="95" w:type="dxa"/>
              <w:bottom w:w="85" w:type="dxa"/>
              <w:end w:w="95" w:type="dxa"/>
            </w:tcMar>
          </w:tcPr>
          <w:p>
            <w:pPr>
              <w:spacing w:after="0"/>
            </w:pPr>
            <w:r>
              <w:rPr>
                <w:sz w:val="17"/>
              </w:rPr>
              <w:t>String</w:t>
            </w:r>
          </w:p>
        </w:tc>
        <w:tc>
          <w:tcPr>
            <w:tcW w:type="dxa" w:w="5760"/>
            <w:shd w:fill="EAF2F8"/>
            <w:vAlign w:val="center"/>
            <w:tcMar>
              <w:top w:w="85" w:type="dxa"/>
              <w:start w:w="95" w:type="dxa"/>
              <w:bottom w:w="85" w:type="dxa"/>
              <w:end w:w="95" w:type="dxa"/>
            </w:tcMar>
          </w:tcPr>
          <w:p>
            <w:pPr>
              <w:spacing w:after="0"/>
            </w:pPr>
            <w:r>
              <w:rPr>
                <w:sz w:val="17"/>
              </w:rPr>
              <w:t>VIP si l’identifiant est multiple de 20, Business s’il est multiple de 4, sinon Standard.</w:t>
            </w:r>
          </w:p>
        </w:tc>
      </w:tr>
      <w:tr>
        <w:tc>
          <w:tcPr>
            <w:tcW w:type="dxa" w:w="2088"/>
            <w:vAlign w:val="center"/>
            <w:tcMar>
              <w:top w:w="85" w:type="dxa"/>
              <w:start w:w="95" w:type="dxa"/>
              <w:bottom w:w="85" w:type="dxa"/>
              <w:end w:w="95" w:type="dxa"/>
            </w:tcMar>
          </w:tcPr>
          <w:p>
            <w:pPr>
              <w:spacing w:after="0"/>
            </w:pPr>
            <w:r>
              <w:rPr>
                <w:sz w:val="17"/>
              </w:rPr>
              <w:t>active</w:t>
            </w:r>
          </w:p>
        </w:tc>
        <w:tc>
          <w:tcPr>
            <w:tcW w:type="dxa" w:w="1512"/>
            <w:vAlign w:val="center"/>
            <w:tcMar>
              <w:top w:w="85" w:type="dxa"/>
              <w:start w:w="95" w:type="dxa"/>
              <w:bottom w:w="85" w:type="dxa"/>
              <w:end w:w="95" w:type="dxa"/>
            </w:tcMar>
          </w:tcPr>
          <w:p>
            <w:pPr>
              <w:spacing w:after="0"/>
            </w:pPr>
            <w:r>
              <w:rPr>
                <w:sz w:val="17"/>
              </w:rPr>
              <w:t>Boolean</w:t>
            </w:r>
          </w:p>
        </w:tc>
        <w:tc>
          <w:tcPr>
            <w:tcW w:type="dxa" w:w="5760"/>
            <w:vAlign w:val="center"/>
            <w:tcMar>
              <w:top w:w="85" w:type="dxa"/>
              <w:start w:w="95" w:type="dxa"/>
              <w:bottom w:w="85" w:type="dxa"/>
              <w:end w:w="95" w:type="dxa"/>
            </w:tcMar>
          </w:tcPr>
          <w:p>
            <w:pPr>
              <w:spacing w:after="0"/>
            </w:pPr>
            <w:r>
              <w:rPr>
                <w:sz w:val="17"/>
              </w:rPr>
              <w:t>False pour un identifiant multiple de 17, true dans les autres cas.</w:t>
            </w:r>
          </w:p>
        </w:tc>
      </w:tr>
      <w:tr>
        <w:tc>
          <w:tcPr>
            <w:tcW w:type="dxa" w:w="2088"/>
            <w:shd w:fill="EAF2F8"/>
            <w:vAlign w:val="center"/>
            <w:tcMar>
              <w:top w:w="85" w:type="dxa"/>
              <w:start w:w="95" w:type="dxa"/>
              <w:bottom w:w="85" w:type="dxa"/>
              <w:end w:w="95" w:type="dxa"/>
            </w:tcMar>
          </w:tcPr>
          <w:p>
            <w:pPr>
              <w:spacing w:after="0"/>
            </w:pPr>
            <w:r>
              <w:rPr>
                <w:sz w:val="17"/>
              </w:rPr>
              <w:t>signup_date</w:t>
            </w:r>
          </w:p>
        </w:tc>
        <w:tc>
          <w:tcPr>
            <w:tcW w:type="dxa" w:w="1512"/>
            <w:shd w:fill="EAF2F8"/>
            <w:vAlign w:val="center"/>
            <w:tcMar>
              <w:top w:w="85" w:type="dxa"/>
              <w:start w:w="95" w:type="dxa"/>
              <w:bottom w:w="85" w:type="dxa"/>
              <w:end w:w="95" w:type="dxa"/>
            </w:tcMar>
          </w:tcPr>
          <w:p>
            <w:pPr>
              <w:spacing w:after="0"/>
            </w:pPr>
            <w:r>
              <w:rPr>
                <w:sz w:val="17"/>
              </w:rPr>
              <w:t>Date</w:t>
            </w:r>
          </w:p>
        </w:tc>
        <w:tc>
          <w:tcPr>
            <w:tcW w:type="dxa" w:w="5760"/>
            <w:shd w:fill="EAF2F8"/>
            <w:vAlign w:val="center"/>
            <w:tcMar>
              <w:top w:w="85" w:type="dxa"/>
              <w:start w:w="95" w:type="dxa"/>
              <w:bottom w:w="85" w:type="dxa"/>
              <w:end w:w="95" w:type="dxa"/>
            </w:tcMar>
          </w:tcPr>
          <w:p>
            <w:pPr>
              <w:spacing w:after="0"/>
            </w:pPr>
            <w:r>
              <w:rPr>
                <w:sz w:val="17"/>
              </w:rPr>
              <w:t>Date comprise dans une fenêtre de 1 460 jours à partir du 1er janvier 2022.</w:t>
            </w:r>
          </w:p>
        </w:tc>
      </w:tr>
      <w:tr>
        <w:tc>
          <w:tcPr>
            <w:tcW w:type="dxa" w:w="2088"/>
            <w:vAlign w:val="center"/>
            <w:tcMar>
              <w:top w:w="85" w:type="dxa"/>
              <w:start w:w="95" w:type="dxa"/>
              <w:bottom w:w="85" w:type="dxa"/>
              <w:end w:w="95" w:type="dxa"/>
            </w:tcMar>
          </w:tcPr>
          <w:p>
            <w:pPr>
              <w:spacing w:after="0"/>
            </w:pPr>
            <w:r>
              <w:rPr>
                <w:sz w:val="17"/>
              </w:rPr>
              <w:t>email</w:t>
            </w:r>
          </w:p>
        </w:tc>
        <w:tc>
          <w:tcPr>
            <w:tcW w:type="dxa" w:w="1512"/>
            <w:vAlign w:val="center"/>
            <w:tcMar>
              <w:top w:w="85" w:type="dxa"/>
              <w:start w:w="95" w:type="dxa"/>
              <w:bottom w:w="85" w:type="dxa"/>
              <w:end w:w="95" w:type="dxa"/>
            </w:tcMar>
          </w:tcPr>
          <w:p>
            <w:pPr>
              <w:spacing w:after="0"/>
            </w:pPr>
            <w:r>
              <w:rPr>
                <w:sz w:val="17"/>
              </w:rPr>
              <w:t>String</w:t>
            </w:r>
          </w:p>
        </w:tc>
        <w:tc>
          <w:tcPr>
            <w:tcW w:type="dxa" w:w="5760"/>
            <w:vAlign w:val="center"/>
            <w:tcMar>
              <w:top w:w="85" w:type="dxa"/>
              <w:start w:w="95" w:type="dxa"/>
              <w:bottom w:w="85" w:type="dxa"/>
              <w:end w:w="95" w:type="dxa"/>
            </w:tcMar>
          </w:tcPr>
          <w:p>
            <w:pPr>
              <w:spacing w:after="0"/>
            </w:pPr>
            <w:r>
              <w:rPr>
                <w:sz w:val="17"/>
              </w:rPr>
              <w:t>Adresse synthétique customer&lt;ID&gt;@example.org.</w:t>
            </w:r>
          </w:p>
        </w:tc>
      </w:tr>
    </w:tbl>
    <w:p>
      <w:pPr>
        <w:pStyle w:val="Heading2"/>
      </w:pPr>
      <w:r>
        <w:t>Exercices associés</w:t>
      </w:r>
    </w:p>
    <w:p>
      <w:pPr>
        <w:pStyle w:val="ListBullet"/>
      </w:pPr>
      <w:r>
        <w:t>Joindre customers à countries et comparer un BroadcastHashJoin à un SortMergeJoin.</w:t>
      </w:r>
    </w:p>
    <w:p>
      <w:pPr>
        <w:pStyle w:val="ListBullet"/>
      </w:pPr>
      <w:r>
        <w:t>Filtrer les clients actifs ou un segment particulier avant une jointure.</w:t>
      </w:r>
    </w:p>
    <w:p>
      <w:pPr>
        <w:pStyle w:val="ListBullet"/>
      </w:pPr>
      <w:r>
        <w:t>Sélectionner uniquement les colonnes utiles pour observer le column pruning.</w:t>
      </w:r>
    </w:p>
    <w:p>
      <w:r>
        <w:br w:type="page"/>
      </w:r>
    </w:p>
    <w:p>
      <w:pPr>
        <w:pStyle w:val="Heading1"/>
      </w:pPr>
      <w:r>
        <w:t>Tables de commandes</w:t>
      </w:r>
    </w:p>
    <w:p>
      <w:r>
        <w:t>Les deux dossiers de commandes contiennent les mêmes colonnes et le même volume logique. Leur organisation physique diffère pour permettre deux familles d’exercices.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088"/>
            <w:shd w:fill="1F4E78"/>
            <w:vAlign w:val="center"/>
            <w:tcMar>
              <w:top w:w="85" w:type="dxa"/>
              <w:start w:w="95" w:type="dxa"/>
              <w:bottom w:w="85" w:type="dxa"/>
              <w:end w:w="95" w:type="dxa"/>
            </w:tcMar>
          </w:tcPr>
          <w:p>
            <w:pPr>
              <w:spacing w:after="0"/>
            </w:pPr>
            <w:r>
              <w:rPr>
                <w:b/>
                <w:color w:val="FFFFFF"/>
                <w:sz w:val="17"/>
              </w:rPr>
              <w:t>Colonne</w:t>
            </w:r>
          </w:p>
        </w:tc>
        <w:tc>
          <w:tcPr>
            <w:tcW w:type="dxa" w:w="1512"/>
            <w:shd w:fill="1F4E78"/>
            <w:vAlign w:val="center"/>
            <w:tcMar>
              <w:top w:w="85" w:type="dxa"/>
              <w:start w:w="95" w:type="dxa"/>
              <w:bottom w:w="85" w:type="dxa"/>
              <w:end w:w="95" w:type="dxa"/>
            </w:tcMar>
          </w:tcPr>
          <w:p>
            <w:pPr>
              <w:spacing w:after="0"/>
            </w:pPr>
            <w:r>
              <w:rPr>
                <w:b/>
                <w:color w:val="FFFFFF"/>
                <w:sz w:val="17"/>
              </w:rPr>
              <w:t>Type</w:t>
            </w:r>
          </w:p>
        </w:tc>
        <w:tc>
          <w:tcPr>
            <w:tcW w:type="dxa" w:w="5760"/>
            <w:shd w:fill="1F4E78"/>
            <w:vAlign w:val="center"/>
            <w:tcMar>
              <w:top w:w="85" w:type="dxa"/>
              <w:start w:w="95" w:type="dxa"/>
              <w:bottom w:w="85" w:type="dxa"/>
              <w:end w:w="95" w:type="dxa"/>
            </w:tcMar>
          </w:tcPr>
          <w:p>
            <w:pPr>
              <w:spacing w:after="0"/>
            </w:pPr>
            <w:r>
              <w:rPr>
                <w:b/>
                <w:color w:val="FFFFFF"/>
                <w:sz w:val="17"/>
              </w:rPr>
              <w:t>Description et règle de génération</w:t>
            </w:r>
          </w:p>
        </w:tc>
      </w:tr>
      <w:tr>
        <w:tc>
          <w:tcPr>
            <w:tcW w:type="dxa" w:w="2088"/>
            <w:vAlign w:val="center"/>
            <w:tcMar>
              <w:top w:w="85" w:type="dxa"/>
              <w:start w:w="95" w:type="dxa"/>
              <w:bottom w:w="85" w:type="dxa"/>
              <w:end w:w="95" w:type="dxa"/>
            </w:tcMar>
          </w:tcPr>
          <w:p>
            <w:pPr>
              <w:spacing w:after="0"/>
            </w:pPr>
            <w:r>
              <w:rPr>
                <w:sz w:val="17"/>
              </w:rPr>
              <w:t>order_id</w:t>
            </w:r>
          </w:p>
        </w:tc>
        <w:tc>
          <w:tcPr>
            <w:tcW w:type="dxa" w:w="1512"/>
            <w:vAlign w:val="center"/>
            <w:tcMar>
              <w:top w:w="85" w:type="dxa"/>
              <w:start w:w="95" w:type="dxa"/>
              <w:bottom w:w="85" w:type="dxa"/>
              <w:end w:w="95" w:type="dxa"/>
            </w:tcMar>
          </w:tcPr>
          <w:p>
            <w:pPr>
              <w:spacing w:after="0"/>
            </w:pPr>
            <w:r>
              <w:rPr>
                <w:sz w:val="17"/>
              </w:rPr>
              <w:t>Long</w:t>
            </w:r>
          </w:p>
        </w:tc>
        <w:tc>
          <w:tcPr>
            <w:tcW w:type="dxa" w:w="5760"/>
            <w:vAlign w:val="center"/>
            <w:tcMar>
              <w:top w:w="85" w:type="dxa"/>
              <w:start w:w="95" w:type="dxa"/>
              <w:bottom w:w="85" w:type="dxa"/>
              <w:end w:w="95" w:type="dxa"/>
            </w:tcMar>
          </w:tcPr>
          <w:p>
            <w:pPr>
              <w:spacing w:after="0"/>
            </w:pPr>
            <w:r>
              <w:rPr>
                <w:sz w:val="17"/>
              </w:rPr>
              <w:t>Identifiant égal à l’index de génération augmenté de 1 000 000.</w:t>
            </w:r>
          </w:p>
        </w:tc>
      </w:tr>
      <w:tr>
        <w:tc>
          <w:tcPr>
            <w:tcW w:type="dxa" w:w="2088"/>
            <w:shd w:fill="EAF2F8"/>
            <w:vAlign w:val="center"/>
            <w:tcMar>
              <w:top w:w="85" w:type="dxa"/>
              <w:start w:w="95" w:type="dxa"/>
              <w:bottom w:w="85" w:type="dxa"/>
              <w:end w:w="95" w:type="dxa"/>
            </w:tcMar>
          </w:tcPr>
          <w:p>
            <w:pPr>
              <w:spacing w:after="0"/>
            </w:pPr>
            <w:r>
              <w:rPr>
                <w:sz w:val="17"/>
              </w:rPr>
              <w:t>customer_id</w:t>
            </w:r>
          </w:p>
        </w:tc>
        <w:tc>
          <w:tcPr>
            <w:tcW w:type="dxa" w:w="1512"/>
            <w:shd w:fill="EAF2F8"/>
            <w:vAlign w:val="center"/>
            <w:tcMar>
              <w:top w:w="85" w:type="dxa"/>
              <w:start w:w="95" w:type="dxa"/>
              <w:bottom w:w="85" w:type="dxa"/>
              <w:end w:w="95" w:type="dxa"/>
            </w:tcMar>
          </w:tcPr>
          <w:p>
            <w:pPr>
              <w:spacing w:after="0"/>
            </w:pPr>
            <w:r>
              <w:rPr>
                <w:sz w:val="17"/>
              </w:rPr>
              <w:t>Long</w:t>
            </w:r>
          </w:p>
        </w:tc>
        <w:tc>
          <w:tcPr>
            <w:tcW w:type="dxa" w:w="5760"/>
            <w:shd w:fill="EAF2F8"/>
            <w:vAlign w:val="center"/>
            <w:tcMar>
              <w:top w:w="85" w:type="dxa"/>
              <w:start w:w="95" w:type="dxa"/>
              <w:bottom w:w="85" w:type="dxa"/>
              <w:end w:w="95" w:type="dxa"/>
            </w:tcMar>
          </w:tcPr>
          <w:p>
            <w:pPr>
              <w:spacing w:after="0"/>
            </w:pPr>
            <w:r>
              <w:rPr>
                <w:sz w:val="17"/>
              </w:rPr>
              <w:t>Clé client. Environ 22 % des lignes utilisent volontairement la valeur 42.</w:t>
            </w:r>
          </w:p>
        </w:tc>
      </w:tr>
      <w:tr>
        <w:tc>
          <w:tcPr>
            <w:tcW w:type="dxa" w:w="2088"/>
            <w:vAlign w:val="center"/>
            <w:tcMar>
              <w:top w:w="85" w:type="dxa"/>
              <w:start w:w="95" w:type="dxa"/>
              <w:bottom w:w="85" w:type="dxa"/>
              <w:end w:w="95" w:type="dxa"/>
            </w:tcMar>
          </w:tcPr>
          <w:p>
            <w:pPr>
              <w:spacing w:after="0"/>
            </w:pPr>
            <w:r>
              <w:rPr>
                <w:sz w:val="17"/>
              </w:rPr>
              <w:t>status</w:t>
            </w:r>
          </w:p>
        </w:tc>
        <w:tc>
          <w:tcPr>
            <w:tcW w:type="dxa" w:w="1512"/>
            <w:vAlign w:val="center"/>
            <w:tcMar>
              <w:top w:w="85" w:type="dxa"/>
              <w:start w:w="95" w:type="dxa"/>
              <w:bottom w:w="85" w:type="dxa"/>
              <w:end w:w="95" w:type="dxa"/>
            </w:tcMar>
          </w:tcPr>
          <w:p>
            <w:pPr>
              <w:spacing w:after="0"/>
            </w:pPr>
            <w:r>
              <w:rPr>
                <w:sz w:val="17"/>
              </w:rPr>
              <w:t>String</w:t>
            </w:r>
          </w:p>
        </w:tc>
        <w:tc>
          <w:tcPr>
            <w:tcW w:type="dxa" w:w="5760"/>
            <w:vAlign w:val="center"/>
            <w:tcMar>
              <w:top w:w="85" w:type="dxa"/>
              <w:start w:w="95" w:type="dxa"/>
              <w:bottom w:w="85" w:type="dxa"/>
              <w:end w:w="95" w:type="dxa"/>
            </w:tcMar>
          </w:tcPr>
          <w:p>
            <w:pPr>
              <w:spacing w:after="0"/>
            </w:pPr>
            <w:r>
              <w:rPr>
                <w:sz w:val="17"/>
              </w:rPr>
              <w:t>PAID, PENDING ou CANCELLED avec une distribution pseudo-aléatoire reproductible.</w:t>
            </w:r>
          </w:p>
        </w:tc>
      </w:tr>
      <w:tr>
        <w:tc>
          <w:tcPr>
            <w:tcW w:type="dxa" w:w="2088"/>
            <w:shd w:fill="EAF2F8"/>
            <w:vAlign w:val="center"/>
            <w:tcMar>
              <w:top w:w="85" w:type="dxa"/>
              <w:start w:w="95" w:type="dxa"/>
              <w:bottom w:w="85" w:type="dxa"/>
              <w:end w:w="95" w:type="dxa"/>
            </w:tcMar>
          </w:tcPr>
          <w:p>
            <w:pPr>
              <w:spacing w:after="0"/>
            </w:pPr>
            <w:r>
              <w:rPr>
                <w:sz w:val="17"/>
              </w:rPr>
              <w:t>amount</w:t>
            </w:r>
          </w:p>
        </w:tc>
        <w:tc>
          <w:tcPr>
            <w:tcW w:type="dxa" w:w="1512"/>
            <w:shd w:fill="EAF2F8"/>
            <w:vAlign w:val="center"/>
            <w:tcMar>
              <w:top w:w="85" w:type="dxa"/>
              <w:start w:w="95" w:type="dxa"/>
              <w:bottom w:w="85" w:type="dxa"/>
              <w:end w:w="95" w:type="dxa"/>
            </w:tcMar>
          </w:tcPr>
          <w:p>
            <w:pPr>
              <w:spacing w:after="0"/>
            </w:pPr>
            <w:r>
              <w:rPr>
                <w:sz w:val="17"/>
              </w:rPr>
              <w:t>Double</w:t>
            </w:r>
          </w:p>
        </w:tc>
        <w:tc>
          <w:tcPr>
            <w:tcW w:type="dxa" w:w="5760"/>
            <w:shd w:fill="EAF2F8"/>
            <w:vAlign w:val="center"/>
            <w:tcMar>
              <w:top w:w="85" w:type="dxa"/>
              <w:start w:w="95" w:type="dxa"/>
              <w:bottom w:w="85" w:type="dxa"/>
              <w:end w:w="95" w:type="dxa"/>
            </w:tcMar>
          </w:tcPr>
          <w:p>
            <w:pPr>
              <w:spacing w:after="0"/>
            </w:pPr>
            <w:r>
              <w:rPr>
                <w:sz w:val="17"/>
              </w:rPr>
              <w:t>Montant aléatoire arrondi entre 10 et 500.</w:t>
            </w:r>
          </w:p>
        </w:tc>
      </w:tr>
      <w:tr>
        <w:tc>
          <w:tcPr>
            <w:tcW w:type="dxa" w:w="2088"/>
            <w:vAlign w:val="center"/>
            <w:tcMar>
              <w:top w:w="85" w:type="dxa"/>
              <w:start w:w="95" w:type="dxa"/>
              <w:bottom w:w="85" w:type="dxa"/>
              <w:end w:w="95" w:type="dxa"/>
            </w:tcMar>
          </w:tcPr>
          <w:p>
            <w:pPr>
              <w:spacing w:after="0"/>
            </w:pPr>
            <w:r>
              <w:rPr>
                <w:sz w:val="17"/>
              </w:rPr>
              <w:t>product_category</w:t>
            </w:r>
          </w:p>
        </w:tc>
        <w:tc>
          <w:tcPr>
            <w:tcW w:type="dxa" w:w="1512"/>
            <w:vAlign w:val="center"/>
            <w:tcMar>
              <w:top w:w="85" w:type="dxa"/>
              <w:start w:w="95" w:type="dxa"/>
              <w:bottom w:w="85" w:type="dxa"/>
              <w:end w:w="95" w:type="dxa"/>
            </w:tcMar>
          </w:tcPr>
          <w:p>
            <w:pPr>
              <w:spacing w:after="0"/>
            </w:pPr>
            <w:r>
              <w:rPr>
                <w:sz w:val="17"/>
              </w:rPr>
              <w:t>String</w:t>
            </w:r>
          </w:p>
        </w:tc>
        <w:tc>
          <w:tcPr>
            <w:tcW w:type="dxa" w:w="5760"/>
            <w:vAlign w:val="center"/>
            <w:tcMar>
              <w:top w:w="85" w:type="dxa"/>
              <w:start w:w="95" w:type="dxa"/>
              <w:bottom w:w="85" w:type="dxa"/>
              <w:end w:w="95" w:type="dxa"/>
            </w:tcMar>
          </w:tcPr>
          <w:p>
            <w:pPr>
              <w:spacing w:after="0"/>
            </w:pPr>
            <w:r>
              <w:rPr>
                <w:sz w:val="17"/>
              </w:rPr>
              <w:t>Books, Office, Electronics, Food ou Home.</w:t>
            </w:r>
          </w:p>
        </w:tc>
      </w:tr>
      <w:tr>
        <w:tc>
          <w:tcPr>
            <w:tcW w:type="dxa" w:w="2088"/>
            <w:shd w:fill="EAF2F8"/>
            <w:vAlign w:val="center"/>
            <w:tcMar>
              <w:top w:w="85" w:type="dxa"/>
              <w:start w:w="95" w:type="dxa"/>
              <w:bottom w:w="85" w:type="dxa"/>
              <w:end w:w="95" w:type="dxa"/>
            </w:tcMar>
          </w:tcPr>
          <w:p>
            <w:pPr>
              <w:spacing w:after="0"/>
            </w:pPr>
            <w:r>
              <w:rPr>
                <w:sz w:val="17"/>
              </w:rPr>
              <w:t>country</w:t>
            </w:r>
          </w:p>
        </w:tc>
        <w:tc>
          <w:tcPr>
            <w:tcW w:type="dxa" w:w="1512"/>
            <w:shd w:fill="EAF2F8"/>
            <w:vAlign w:val="center"/>
            <w:tcMar>
              <w:top w:w="85" w:type="dxa"/>
              <w:start w:w="95" w:type="dxa"/>
              <w:bottom w:w="85" w:type="dxa"/>
              <w:end w:w="95" w:type="dxa"/>
            </w:tcMar>
          </w:tcPr>
          <w:p>
            <w:pPr>
              <w:spacing w:after="0"/>
            </w:pPr>
            <w:r>
              <w:rPr>
                <w:sz w:val="17"/>
              </w:rPr>
              <w:t>String</w:t>
            </w:r>
          </w:p>
        </w:tc>
        <w:tc>
          <w:tcPr>
            <w:tcW w:type="dxa" w:w="5760"/>
            <w:shd w:fill="EAF2F8"/>
            <w:vAlign w:val="center"/>
            <w:tcMar>
              <w:top w:w="85" w:type="dxa"/>
              <w:start w:w="95" w:type="dxa"/>
              <w:bottom w:w="85" w:type="dxa"/>
              <w:end w:w="95" w:type="dxa"/>
            </w:tcMar>
          </w:tcPr>
          <w:p>
            <w:pPr>
              <w:spacing w:after="0"/>
            </w:pPr>
            <w:r>
              <w:rPr>
                <w:sz w:val="17"/>
              </w:rPr>
              <w:t>Code pays calculé à partir d’un hash de l’identifiant.</w:t>
            </w:r>
          </w:p>
        </w:tc>
      </w:tr>
      <w:tr>
        <w:tc>
          <w:tcPr>
            <w:tcW w:type="dxa" w:w="2088"/>
            <w:vAlign w:val="center"/>
            <w:tcMar>
              <w:top w:w="85" w:type="dxa"/>
              <w:start w:w="95" w:type="dxa"/>
              <w:bottom w:w="85" w:type="dxa"/>
              <w:end w:w="95" w:type="dxa"/>
            </w:tcMar>
          </w:tcPr>
          <w:p>
            <w:pPr>
              <w:spacing w:after="0"/>
            </w:pPr>
            <w:r>
              <w:rPr>
                <w:sz w:val="17"/>
              </w:rPr>
              <w:t>order_date</w:t>
            </w:r>
          </w:p>
        </w:tc>
        <w:tc>
          <w:tcPr>
            <w:tcW w:type="dxa" w:w="1512"/>
            <w:vAlign w:val="center"/>
            <w:tcMar>
              <w:top w:w="85" w:type="dxa"/>
              <w:start w:w="95" w:type="dxa"/>
              <w:bottom w:w="85" w:type="dxa"/>
              <w:end w:w="95" w:type="dxa"/>
            </w:tcMar>
          </w:tcPr>
          <w:p>
            <w:pPr>
              <w:spacing w:after="0"/>
            </w:pPr>
            <w:r>
              <w:rPr>
                <w:sz w:val="17"/>
              </w:rPr>
              <w:t>Date</w:t>
            </w:r>
          </w:p>
        </w:tc>
        <w:tc>
          <w:tcPr>
            <w:tcW w:type="dxa" w:w="5760"/>
            <w:vAlign w:val="center"/>
            <w:tcMar>
              <w:top w:w="85" w:type="dxa"/>
              <w:start w:w="95" w:type="dxa"/>
              <w:bottom w:w="85" w:type="dxa"/>
              <w:end w:w="95" w:type="dxa"/>
            </w:tcMar>
          </w:tcPr>
          <w:p>
            <w:pPr>
              <w:spacing w:after="0"/>
            </w:pPr>
            <w:r>
              <w:rPr>
                <w:sz w:val="17"/>
              </w:rPr>
              <w:t>Date comprise dans les 365 jours suivant le 1er janvier 2026.</w:t>
            </w:r>
          </w:p>
        </w:tc>
      </w:tr>
      <w:tr>
        <w:tc>
          <w:tcPr>
            <w:tcW w:type="dxa" w:w="2088"/>
            <w:shd w:fill="EAF2F8"/>
            <w:vAlign w:val="center"/>
            <w:tcMar>
              <w:top w:w="85" w:type="dxa"/>
              <w:start w:w="95" w:type="dxa"/>
              <w:bottom w:w="85" w:type="dxa"/>
              <w:end w:w="95" w:type="dxa"/>
            </w:tcMar>
          </w:tcPr>
          <w:p>
            <w:pPr>
              <w:spacing w:after="0"/>
            </w:pPr>
            <w:r>
              <w:rPr>
                <w:sz w:val="17"/>
              </w:rPr>
              <w:t>debug_payload</w:t>
            </w:r>
          </w:p>
        </w:tc>
        <w:tc>
          <w:tcPr>
            <w:tcW w:type="dxa" w:w="1512"/>
            <w:shd w:fill="EAF2F8"/>
            <w:vAlign w:val="center"/>
            <w:tcMar>
              <w:top w:w="85" w:type="dxa"/>
              <w:start w:w="95" w:type="dxa"/>
              <w:bottom w:w="85" w:type="dxa"/>
              <w:end w:w="95" w:type="dxa"/>
            </w:tcMar>
          </w:tcPr>
          <w:p>
            <w:pPr>
              <w:spacing w:after="0"/>
            </w:pPr>
            <w:r>
              <w:rPr>
                <w:sz w:val="17"/>
              </w:rPr>
              <w:t>String</w:t>
            </w:r>
          </w:p>
        </w:tc>
        <w:tc>
          <w:tcPr>
            <w:tcW w:type="dxa" w:w="5760"/>
            <w:shd w:fill="EAF2F8"/>
            <w:vAlign w:val="center"/>
            <w:tcMar>
              <w:top w:w="85" w:type="dxa"/>
              <w:start w:w="95" w:type="dxa"/>
              <w:bottom w:w="85" w:type="dxa"/>
              <w:end w:w="95" w:type="dxa"/>
            </w:tcMar>
          </w:tcPr>
          <w:p>
            <w:pPr>
              <w:spacing w:after="0"/>
            </w:pPr>
            <w:r>
              <w:rPr>
                <w:sz w:val="17"/>
              </w:rPr>
              <w:t>Colonne volontairement large et inutile, composée d’un texte et d’un hash SHA-256.</w:t>
            </w:r>
          </w:p>
        </w:tc>
      </w:tr>
    </w:tbl>
    <w:p>
      <w:pPr>
        <w:pStyle w:val="Heading2"/>
      </w:pPr>
      <w:r>
        <w:t>orders_partitioned</w:t>
      </w:r>
    </w:p>
    <w:p>
      <w:r>
        <w:t>Les commandes sont repartitionnées sur order_date puis écrites avec partitionBy(order_date). Chaque date devient donc une partition de répertoire.</w:t>
      </w:r>
    </w:p>
    <w:p>
      <w:pPr>
        <w:pStyle w:val="ListBullet"/>
      </w:pPr>
      <w:r>
        <w:t>Un filtre sur order_date permet le partition pruning.</w:t>
      </w:r>
    </w:p>
    <w:p>
      <w:pPr>
        <w:pStyle w:val="ListBullet"/>
      </w:pPr>
      <w:r>
        <w:t>Un filtre sur status peut être poussé vers le lecteur Parquet.</w:t>
      </w:r>
    </w:p>
    <w:p>
      <w:pPr>
        <w:pStyle w:val="ListBullet"/>
      </w:pPr>
      <w:r>
        <w:t>L’absence de debug_payload dans un select permet de constater le column pruning.</w:t>
      </w:r>
    </w:p>
    <w:p>
      <w:pPr>
        <w:pStyle w:val="Heading2"/>
      </w:pPr>
      <w:r>
        <w:t>orders_small_files</w:t>
      </w:r>
    </w:p>
    <w:p>
      <w:r>
        <w:t>La même table est écrite avec 240 partitions par défaut et sans partitionnement métier. Cette fragmentation produit volontairement beaucoup de fichiers relativement petits.</w:t>
      </w:r>
    </w:p>
    <w:p>
      <w:pPr>
        <w:pStyle w:val="ListBullet"/>
      </w:pPr>
      <w:r>
        <w:t>Comparer le temps de listing et de lecture avec orders_partitioned.</w:t>
      </w:r>
    </w:p>
    <w:p>
      <w:pPr>
        <w:pStyle w:val="ListBullet"/>
      </w:pPr>
      <w:r>
        <w:t>Tester coalesce ou repartition avant l’écriture.</w:t>
      </w:r>
    </w:p>
    <w:p>
      <w:pPr>
        <w:pStyle w:val="ListBullet"/>
      </w:pPr>
      <w:r>
        <w:t>Comparer le nombre et la taille des fichiers obtenus.</w:t>
      </w:r>
    </w:p>
    <w:p>
      <w:r>
        <w:br w:type="page"/>
      </w:r>
    </w:p>
    <w:p>
      <w:pPr>
        <w:pStyle w:val="Heading1"/>
      </w:pPr>
      <w:r>
        <w:t>Table events</w:t>
      </w:r>
    </w:p>
    <w:p>
      <w:r>
        <w:t>Table de faits représentant l’activité des utilisateurs pendant octobre 2026. Elle est partitionnée physiquement par event_date.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088"/>
            <w:shd w:fill="1F4E78"/>
            <w:vAlign w:val="center"/>
            <w:tcMar>
              <w:top w:w="85" w:type="dxa"/>
              <w:start w:w="95" w:type="dxa"/>
              <w:bottom w:w="85" w:type="dxa"/>
              <w:end w:w="95" w:type="dxa"/>
            </w:tcMar>
          </w:tcPr>
          <w:p>
            <w:pPr>
              <w:spacing w:after="0"/>
            </w:pPr>
            <w:r>
              <w:rPr>
                <w:b/>
                <w:color w:val="FFFFFF"/>
                <w:sz w:val="17"/>
              </w:rPr>
              <w:t>Colonne</w:t>
            </w:r>
          </w:p>
        </w:tc>
        <w:tc>
          <w:tcPr>
            <w:tcW w:type="dxa" w:w="1512"/>
            <w:shd w:fill="1F4E78"/>
            <w:vAlign w:val="center"/>
            <w:tcMar>
              <w:top w:w="85" w:type="dxa"/>
              <w:start w:w="95" w:type="dxa"/>
              <w:bottom w:w="85" w:type="dxa"/>
              <w:end w:w="95" w:type="dxa"/>
            </w:tcMar>
          </w:tcPr>
          <w:p>
            <w:pPr>
              <w:spacing w:after="0"/>
            </w:pPr>
            <w:r>
              <w:rPr>
                <w:b/>
                <w:color w:val="FFFFFF"/>
                <w:sz w:val="17"/>
              </w:rPr>
              <w:t>Type</w:t>
            </w:r>
          </w:p>
        </w:tc>
        <w:tc>
          <w:tcPr>
            <w:tcW w:type="dxa" w:w="5760"/>
            <w:shd w:fill="1F4E78"/>
            <w:vAlign w:val="center"/>
            <w:tcMar>
              <w:top w:w="85" w:type="dxa"/>
              <w:start w:w="95" w:type="dxa"/>
              <w:bottom w:w="85" w:type="dxa"/>
              <w:end w:w="95" w:type="dxa"/>
            </w:tcMar>
          </w:tcPr>
          <w:p>
            <w:pPr>
              <w:spacing w:after="0"/>
            </w:pPr>
            <w:r>
              <w:rPr>
                <w:b/>
                <w:color w:val="FFFFFF"/>
                <w:sz w:val="17"/>
              </w:rPr>
              <w:t>Description et règle de génération</w:t>
            </w:r>
          </w:p>
        </w:tc>
      </w:tr>
      <w:tr>
        <w:tc>
          <w:tcPr>
            <w:tcW w:type="dxa" w:w="2088"/>
            <w:vAlign w:val="center"/>
            <w:tcMar>
              <w:top w:w="85" w:type="dxa"/>
              <w:start w:w="95" w:type="dxa"/>
              <w:bottom w:w="85" w:type="dxa"/>
              <w:end w:w="95" w:type="dxa"/>
            </w:tcMar>
          </w:tcPr>
          <w:p>
            <w:pPr>
              <w:spacing w:after="0"/>
            </w:pPr>
            <w:r>
              <w:rPr>
                <w:sz w:val="17"/>
              </w:rPr>
              <w:t>event_id</w:t>
            </w:r>
          </w:p>
        </w:tc>
        <w:tc>
          <w:tcPr>
            <w:tcW w:type="dxa" w:w="1512"/>
            <w:vAlign w:val="center"/>
            <w:tcMar>
              <w:top w:w="85" w:type="dxa"/>
              <w:start w:w="95" w:type="dxa"/>
              <w:bottom w:w="85" w:type="dxa"/>
              <w:end w:w="95" w:type="dxa"/>
            </w:tcMar>
          </w:tcPr>
          <w:p>
            <w:pPr>
              <w:spacing w:after="0"/>
            </w:pPr>
            <w:r>
              <w:rPr>
                <w:sz w:val="17"/>
              </w:rPr>
              <w:t>Long</w:t>
            </w:r>
          </w:p>
        </w:tc>
        <w:tc>
          <w:tcPr>
            <w:tcW w:type="dxa" w:w="5760"/>
            <w:vAlign w:val="center"/>
            <w:tcMar>
              <w:top w:w="85" w:type="dxa"/>
              <w:start w:w="95" w:type="dxa"/>
              <w:bottom w:w="85" w:type="dxa"/>
              <w:end w:w="95" w:type="dxa"/>
            </w:tcMar>
          </w:tcPr>
          <w:p>
            <w:pPr>
              <w:spacing w:after="0"/>
            </w:pPr>
            <w:r>
              <w:rPr>
                <w:sz w:val="17"/>
              </w:rPr>
              <w:t>Identifiant issu de spark.range.</w:t>
            </w:r>
          </w:p>
        </w:tc>
      </w:tr>
      <w:tr>
        <w:tc>
          <w:tcPr>
            <w:tcW w:type="dxa" w:w="2088"/>
            <w:shd w:fill="EAF2F8"/>
            <w:vAlign w:val="center"/>
            <w:tcMar>
              <w:top w:w="85" w:type="dxa"/>
              <w:start w:w="95" w:type="dxa"/>
              <w:bottom w:w="85" w:type="dxa"/>
              <w:end w:w="95" w:type="dxa"/>
            </w:tcMar>
          </w:tcPr>
          <w:p>
            <w:pPr>
              <w:spacing w:after="0"/>
            </w:pPr>
            <w:r>
              <w:rPr>
                <w:sz w:val="17"/>
              </w:rPr>
              <w:t>user_id</w:t>
            </w:r>
          </w:p>
        </w:tc>
        <w:tc>
          <w:tcPr>
            <w:tcW w:type="dxa" w:w="1512"/>
            <w:shd w:fill="EAF2F8"/>
            <w:vAlign w:val="center"/>
            <w:tcMar>
              <w:top w:w="85" w:type="dxa"/>
              <w:start w:w="95" w:type="dxa"/>
              <w:bottom w:w="85" w:type="dxa"/>
              <w:end w:w="95" w:type="dxa"/>
            </w:tcMar>
          </w:tcPr>
          <w:p>
            <w:pPr>
              <w:spacing w:after="0"/>
            </w:pPr>
            <w:r>
              <w:rPr>
                <w:sz w:val="17"/>
              </w:rPr>
              <w:t>Long</w:t>
            </w:r>
          </w:p>
        </w:tc>
        <w:tc>
          <w:tcPr>
            <w:tcW w:type="dxa" w:w="5760"/>
            <w:shd w:fill="EAF2F8"/>
            <w:vAlign w:val="center"/>
            <w:tcMar>
              <w:top w:w="85" w:type="dxa"/>
              <w:start w:w="95" w:type="dxa"/>
              <w:bottom w:w="85" w:type="dxa"/>
              <w:end w:w="95" w:type="dxa"/>
            </w:tcMar>
          </w:tcPr>
          <w:p>
            <w:pPr>
              <w:spacing w:after="0"/>
            </w:pPr>
            <w:r>
              <w:rPr>
                <w:sz w:val="17"/>
              </w:rPr>
              <w:t>Référence customer_id. Environ 18 % des lignes utilisent volontairement la valeur 42.</w:t>
            </w:r>
          </w:p>
        </w:tc>
      </w:tr>
      <w:tr>
        <w:tc>
          <w:tcPr>
            <w:tcW w:type="dxa" w:w="2088"/>
            <w:vAlign w:val="center"/>
            <w:tcMar>
              <w:top w:w="85" w:type="dxa"/>
              <w:start w:w="95" w:type="dxa"/>
              <w:bottom w:w="85" w:type="dxa"/>
              <w:end w:w="95" w:type="dxa"/>
            </w:tcMar>
          </w:tcPr>
          <w:p>
            <w:pPr>
              <w:spacing w:after="0"/>
            </w:pPr>
            <w:r>
              <w:rPr>
                <w:sz w:val="17"/>
              </w:rPr>
              <w:t>event_type</w:t>
            </w:r>
          </w:p>
        </w:tc>
        <w:tc>
          <w:tcPr>
            <w:tcW w:type="dxa" w:w="1512"/>
            <w:vAlign w:val="center"/>
            <w:tcMar>
              <w:top w:w="85" w:type="dxa"/>
              <w:start w:w="95" w:type="dxa"/>
              <w:bottom w:w="85" w:type="dxa"/>
              <w:end w:w="95" w:type="dxa"/>
            </w:tcMar>
          </w:tcPr>
          <w:p>
            <w:pPr>
              <w:spacing w:after="0"/>
            </w:pPr>
            <w:r>
              <w:rPr>
                <w:sz w:val="17"/>
              </w:rPr>
              <w:t>String</w:t>
            </w:r>
          </w:p>
        </w:tc>
        <w:tc>
          <w:tcPr>
            <w:tcW w:type="dxa" w:w="5760"/>
            <w:vAlign w:val="center"/>
            <w:tcMar>
              <w:top w:w="85" w:type="dxa"/>
              <w:start w:w="95" w:type="dxa"/>
              <w:bottom w:w="85" w:type="dxa"/>
              <w:end w:w="95" w:type="dxa"/>
            </w:tcMar>
          </w:tcPr>
          <w:p>
            <w:pPr>
              <w:spacing w:after="0"/>
            </w:pPr>
            <w:r>
              <w:rPr>
                <w:sz w:val="17"/>
              </w:rPr>
              <w:t>view, search, cart, purchase ou support.</w:t>
            </w:r>
          </w:p>
        </w:tc>
      </w:tr>
      <w:tr>
        <w:tc>
          <w:tcPr>
            <w:tcW w:type="dxa" w:w="2088"/>
            <w:shd w:fill="EAF2F8"/>
            <w:vAlign w:val="center"/>
            <w:tcMar>
              <w:top w:w="85" w:type="dxa"/>
              <w:start w:w="95" w:type="dxa"/>
              <w:bottom w:w="85" w:type="dxa"/>
              <w:end w:w="95" w:type="dxa"/>
            </w:tcMar>
          </w:tcPr>
          <w:p>
            <w:pPr>
              <w:spacing w:after="0"/>
            </w:pPr>
            <w:r>
              <w:rPr>
                <w:sz w:val="17"/>
              </w:rPr>
              <w:t>value</w:t>
            </w:r>
          </w:p>
        </w:tc>
        <w:tc>
          <w:tcPr>
            <w:tcW w:type="dxa" w:w="1512"/>
            <w:shd w:fill="EAF2F8"/>
            <w:vAlign w:val="center"/>
            <w:tcMar>
              <w:top w:w="85" w:type="dxa"/>
              <w:start w:w="95" w:type="dxa"/>
              <w:bottom w:w="85" w:type="dxa"/>
              <w:end w:w="95" w:type="dxa"/>
            </w:tcMar>
          </w:tcPr>
          <w:p>
            <w:pPr>
              <w:spacing w:after="0"/>
            </w:pPr>
            <w:r>
              <w:rPr>
                <w:sz w:val="17"/>
              </w:rPr>
              <w:t>Double</w:t>
            </w:r>
          </w:p>
        </w:tc>
        <w:tc>
          <w:tcPr>
            <w:tcW w:type="dxa" w:w="5760"/>
            <w:shd w:fill="EAF2F8"/>
            <w:vAlign w:val="center"/>
            <w:tcMar>
              <w:top w:w="85" w:type="dxa"/>
              <w:start w:w="95" w:type="dxa"/>
              <w:bottom w:w="85" w:type="dxa"/>
              <w:end w:w="95" w:type="dxa"/>
            </w:tcMar>
          </w:tcPr>
          <w:p>
            <w:pPr>
              <w:spacing w:after="0"/>
            </w:pPr>
            <w:r>
              <w:rPr>
                <w:sz w:val="17"/>
              </w:rPr>
              <w:t>Valeur pseudo-aléatoire arrondie entre 0 et 100.</w:t>
            </w:r>
          </w:p>
        </w:tc>
      </w:tr>
      <w:tr>
        <w:tc>
          <w:tcPr>
            <w:tcW w:type="dxa" w:w="2088"/>
            <w:vAlign w:val="center"/>
            <w:tcMar>
              <w:top w:w="85" w:type="dxa"/>
              <w:start w:w="95" w:type="dxa"/>
              <w:bottom w:w="85" w:type="dxa"/>
              <w:end w:w="95" w:type="dxa"/>
            </w:tcMar>
          </w:tcPr>
          <w:p>
            <w:pPr>
              <w:spacing w:after="0"/>
            </w:pPr>
            <w:r>
              <w:rPr>
                <w:sz w:val="17"/>
              </w:rPr>
              <w:t>event_date</w:t>
            </w:r>
          </w:p>
        </w:tc>
        <w:tc>
          <w:tcPr>
            <w:tcW w:type="dxa" w:w="1512"/>
            <w:vAlign w:val="center"/>
            <w:tcMar>
              <w:top w:w="85" w:type="dxa"/>
              <w:start w:w="95" w:type="dxa"/>
              <w:bottom w:w="85" w:type="dxa"/>
              <w:end w:w="95" w:type="dxa"/>
            </w:tcMar>
          </w:tcPr>
          <w:p>
            <w:pPr>
              <w:spacing w:after="0"/>
            </w:pPr>
            <w:r>
              <w:rPr>
                <w:sz w:val="17"/>
              </w:rPr>
              <w:t>Date</w:t>
            </w:r>
          </w:p>
        </w:tc>
        <w:tc>
          <w:tcPr>
            <w:tcW w:type="dxa" w:w="5760"/>
            <w:vAlign w:val="center"/>
            <w:tcMar>
              <w:top w:w="85" w:type="dxa"/>
              <w:start w:w="95" w:type="dxa"/>
              <w:bottom w:w="85" w:type="dxa"/>
              <w:end w:w="95" w:type="dxa"/>
            </w:tcMar>
          </w:tcPr>
          <w:p>
            <w:pPr>
              <w:spacing w:after="0"/>
            </w:pPr>
            <w:r>
              <w:rPr>
                <w:sz w:val="17"/>
              </w:rPr>
              <w:t>Date comprise entre le 1er et le 31 octobre 2026.</w:t>
            </w:r>
          </w:p>
        </w:tc>
      </w:tr>
      <w:tr>
        <w:tc>
          <w:tcPr>
            <w:tcW w:type="dxa" w:w="2088"/>
            <w:shd w:fill="EAF2F8"/>
            <w:vAlign w:val="center"/>
            <w:tcMar>
              <w:top w:w="85" w:type="dxa"/>
              <w:start w:w="95" w:type="dxa"/>
              <w:bottom w:w="85" w:type="dxa"/>
              <w:end w:w="95" w:type="dxa"/>
            </w:tcMar>
          </w:tcPr>
          <w:p>
            <w:pPr>
              <w:spacing w:after="0"/>
            </w:pPr>
            <w:r>
              <w:rPr>
                <w:sz w:val="17"/>
              </w:rPr>
              <w:t>event_time</w:t>
            </w:r>
          </w:p>
        </w:tc>
        <w:tc>
          <w:tcPr>
            <w:tcW w:type="dxa" w:w="1512"/>
            <w:shd w:fill="EAF2F8"/>
            <w:vAlign w:val="center"/>
            <w:tcMar>
              <w:top w:w="85" w:type="dxa"/>
              <w:start w:w="95" w:type="dxa"/>
              <w:bottom w:w="85" w:type="dxa"/>
              <w:end w:w="95" w:type="dxa"/>
            </w:tcMar>
          </w:tcPr>
          <w:p>
            <w:pPr>
              <w:spacing w:after="0"/>
            </w:pPr>
            <w:r>
              <w:rPr>
                <w:sz w:val="17"/>
              </w:rPr>
              <w:t>Timestamp</w:t>
            </w:r>
          </w:p>
        </w:tc>
        <w:tc>
          <w:tcPr>
            <w:tcW w:type="dxa" w:w="5760"/>
            <w:shd w:fill="EAF2F8"/>
            <w:vAlign w:val="center"/>
            <w:tcMar>
              <w:top w:w="85" w:type="dxa"/>
              <w:start w:w="95" w:type="dxa"/>
              <w:bottom w:w="85" w:type="dxa"/>
              <w:end w:w="95" w:type="dxa"/>
            </w:tcMar>
          </w:tcPr>
          <w:p>
            <w:pPr>
              <w:spacing w:after="0"/>
            </w:pPr>
            <w:r>
              <w:rPr>
                <w:sz w:val="17"/>
              </w:rPr>
              <w:t>Horodatage réparti sur les 31 jours d’octobre 2026.</w:t>
            </w:r>
          </w:p>
        </w:tc>
      </w:tr>
    </w:tbl>
    <w:p>
      <w:pPr>
        <w:pStyle w:val="Heading1"/>
      </w:pPr>
      <w:r>
        <w:t>Anomalies pédagogiques volontaires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c>
          <w:tcPr>
            <w:tcW w:type="dxa" w:w="1872"/>
            <w:shd w:fill="1F4E78"/>
            <w:vAlign w:val="center"/>
            <w:tcMar>
              <w:top w:w="85" w:type="dxa"/>
              <w:start w:w="95" w:type="dxa"/>
              <w:bottom w:w="85" w:type="dxa"/>
              <w:end w:w="95" w:type="dxa"/>
            </w:tcMar>
          </w:tcPr>
          <w:p>
            <w:pPr>
              <w:spacing w:after="0"/>
            </w:pPr>
            <w:r>
              <w:rPr>
                <w:b/>
                <w:color w:val="FFFFFF"/>
                <w:sz w:val="16"/>
              </w:rPr>
              <w:t>Anomalie</w:t>
            </w:r>
          </w:p>
        </w:tc>
        <w:tc>
          <w:tcPr>
            <w:tcW w:type="dxa" w:w="1944"/>
            <w:shd w:fill="1F4E78"/>
            <w:vAlign w:val="center"/>
            <w:tcMar>
              <w:top w:w="85" w:type="dxa"/>
              <w:start w:w="95" w:type="dxa"/>
              <w:bottom w:w="85" w:type="dxa"/>
              <w:end w:w="95" w:type="dxa"/>
            </w:tcMar>
          </w:tcPr>
          <w:p>
            <w:pPr>
              <w:spacing w:after="0"/>
            </w:pPr>
            <w:r>
              <w:rPr>
                <w:b/>
                <w:color w:val="FFFFFF"/>
                <w:sz w:val="16"/>
              </w:rPr>
              <w:t>Emplacement</w:t>
            </w:r>
          </w:p>
        </w:tc>
        <w:tc>
          <w:tcPr>
            <w:tcW w:type="dxa" w:w="2952"/>
            <w:shd w:fill="1F4E78"/>
            <w:vAlign w:val="center"/>
            <w:tcMar>
              <w:top w:w="85" w:type="dxa"/>
              <w:start w:w="95" w:type="dxa"/>
              <w:bottom w:w="85" w:type="dxa"/>
              <w:end w:w="95" w:type="dxa"/>
            </w:tcMar>
          </w:tcPr>
          <w:p>
            <w:pPr>
              <w:spacing w:after="0"/>
            </w:pPr>
            <w:r>
              <w:rPr>
                <w:b/>
                <w:color w:val="FFFFFF"/>
                <w:sz w:val="16"/>
              </w:rPr>
              <w:t>Effet attendu</w:t>
            </w:r>
          </w:p>
        </w:tc>
        <w:tc>
          <w:tcPr>
            <w:tcW w:type="dxa" w:w="2592"/>
            <w:shd w:fill="1F4E78"/>
            <w:vAlign w:val="center"/>
            <w:tcMar>
              <w:top w:w="85" w:type="dxa"/>
              <w:start w:w="95" w:type="dxa"/>
              <w:bottom w:w="85" w:type="dxa"/>
              <w:end w:w="95" w:type="dxa"/>
            </w:tcMar>
          </w:tcPr>
          <w:p>
            <w:pPr>
              <w:spacing w:after="0"/>
            </w:pPr>
            <w:r>
              <w:rPr>
                <w:b/>
                <w:color w:val="FFFFFF"/>
                <w:sz w:val="16"/>
              </w:rPr>
              <w:t>Optimisations à tester</w:t>
            </w:r>
          </w:p>
        </w:tc>
      </w:tr>
      <w:tr>
        <w:tc>
          <w:tcPr>
            <w:tcW w:type="dxa" w:w="1872"/>
            <w:vAlign w:val="center"/>
            <w:tcMar>
              <w:top w:w="85" w:type="dxa"/>
              <w:start w:w="95" w:type="dxa"/>
              <w:bottom w:w="85" w:type="dxa"/>
              <w:end w:w="95" w:type="dxa"/>
            </w:tcMar>
          </w:tcPr>
          <w:p>
            <w:pPr>
              <w:spacing w:after="0"/>
            </w:pPr>
            <w:r>
              <w:rPr>
                <w:sz w:val="16"/>
              </w:rPr>
              <w:t>Clé chaude 42</w:t>
            </w:r>
          </w:p>
        </w:tc>
        <w:tc>
          <w:tcPr>
            <w:tcW w:type="dxa" w:w="1944"/>
            <w:vAlign w:val="center"/>
            <w:tcMar>
              <w:top w:w="85" w:type="dxa"/>
              <w:start w:w="95" w:type="dxa"/>
              <w:bottom w:w="85" w:type="dxa"/>
              <w:end w:w="95" w:type="dxa"/>
            </w:tcMar>
          </w:tcPr>
          <w:p>
            <w:pPr>
              <w:spacing w:after="0"/>
            </w:pPr>
            <w:r>
              <w:rPr>
                <w:sz w:val="16"/>
              </w:rPr>
              <w:t>orders et events</w:t>
            </w:r>
          </w:p>
        </w:tc>
        <w:tc>
          <w:tcPr>
            <w:tcW w:type="dxa" w:w="2952"/>
            <w:vAlign w:val="center"/>
            <w:tcMar>
              <w:top w:w="85" w:type="dxa"/>
              <w:start w:w="95" w:type="dxa"/>
              <w:bottom w:w="85" w:type="dxa"/>
              <w:end w:w="95" w:type="dxa"/>
            </w:tcMar>
          </w:tcPr>
          <w:p>
            <w:pPr>
              <w:spacing w:after="0"/>
            </w:pPr>
            <w:r>
              <w:rPr>
                <w:sz w:val="16"/>
              </w:rPr>
              <w:t>Partition très volumineuse pendant une jointure ou une agrégation</w:t>
            </w:r>
          </w:p>
        </w:tc>
        <w:tc>
          <w:tcPr>
            <w:tcW w:type="dxa" w:w="2592"/>
            <w:vAlign w:val="center"/>
            <w:tcMar>
              <w:top w:w="85" w:type="dxa"/>
              <w:start w:w="95" w:type="dxa"/>
              <w:bottom w:w="85" w:type="dxa"/>
              <w:end w:w="95" w:type="dxa"/>
            </w:tcMar>
          </w:tcPr>
          <w:p>
            <w:pPr>
              <w:spacing w:after="0"/>
            </w:pPr>
            <w:r>
              <w:rPr>
                <w:sz w:val="16"/>
              </w:rPr>
              <w:t>AQE skew join, broadcast lorsque possible, selective salting</w:t>
            </w:r>
          </w:p>
        </w:tc>
      </w:tr>
      <w:tr>
        <w:tc>
          <w:tcPr>
            <w:tcW w:type="dxa" w:w="1872"/>
            <w:shd w:fill="EAF2F8"/>
            <w:vAlign w:val="center"/>
            <w:tcMar>
              <w:top w:w="85" w:type="dxa"/>
              <w:start w:w="95" w:type="dxa"/>
              <w:bottom w:w="85" w:type="dxa"/>
              <w:end w:w="95" w:type="dxa"/>
            </w:tcMar>
          </w:tcPr>
          <w:p>
            <w:pPr>
              <w:spacing w:after="0"/>
            </w:pPr>
            <w:r>
              <w:rPr>
                <w:sz w:val="16"/>
              </w:rPr>
              <w:t>Colonne large inutile</w:t>
            </w:r>
          </w:p>
        </w:tc>
        <w:tc>
          <w:tcPr>
            <w:tcW w:type="dxa" w:w="1944"/>
            <w:shd w:fill="EAF2F8"/>
            <w:vAlign w:val="center"/>
            <w:tcMar>
              <w:top w:w="85" w:type="dxa"/>
              <w:start w:w="95" w:type="dxa"/>
              <w:bottom w:w="85" w:type="dxa"/>
              <w:end w:w="95" w:type="dxa"/>
            </w:tcMar>
          </w:tcPr>
          <w:p>
            <w:pPr>
              <w:spacing w:after="0"/>
            </w:pPr>
            <w:r>
              <w:rPr>
                <w:sz w:val="16"/>
              </w:rPr>
              <w:t>orders.debug_payload</w:t>
            </w:r>
          </w:p>
        </w:tc>
        <w:tc>
          <w:tcPr>
            <w:tcW w:type="dxa" w:w="2952"/>
            <w:shd w:fill="EAF2F8"/>
            <w:vAlign w:val="center"/>
            <w:tcMar>
              <w:top w:w="85" w:type="dxa"/>
              <w:start w:w="95" w:type="dxa"/>
              <w:bottom w:w="85" w:type="dxa"/>
              <w:end w:w="95" w:type="dxa"/>
            </w:tcMar>
          </w:tcPr>
          <w:p>
            <w:pPr>
              <w:spacing w:after="0"/>
            </w:pPr>
            <w:r>
              <w:rPr>
                <w:sz w:val="16"/>
              </w:rPr>
              <w:t>Davantage d’entrées-sorties et de mémoire si elle est lue</w:t>
            </w:r>
          </w:p>
        </w:tc>
        <w:tc>
          <w:tcPr>
            <w:tcW w:type="dxa" w:w="2592"/>
            <w:shd w:fill="EAF2F8"/>
            <w:vAlign w:val="center"/>
            <w:tcMar>
              <w:top w:w="85" w:type="dxa"/>
              <w:start w:w="95" w:type="dxa"/>
              <w:bottom w:w="85" w:type="dxa"/>
              <w:end w:w="95" w:type="dxa"/>
            </w:tcMar>
          </w:tcPr>
          <w:p>
            <w:pPr>
              <w:spacing w:after="0"/>
            </w:pPr>
            <w:r>
              <w:rPr>
                <w:sz w:val="16"/>
              </w:rPr>
              <w:t>Projection anticipée et column pruning</w:t>
            </w:r>
          </w:p>
        </w:tc>
      </w:tr>
      <w:tr>
        <w:tc>
          <w:tcPr>
            <w:tcW w:type="dxa" w:w="1872"/>
            <w:vAlign w:val="center"/>
            <w:tcMar>
              <w:top w:w="85" w:type="dxa"/>
              <w:start w:w="95" w:type="dxa"/>
              <w:bottom w:w="85" w:type="dxa"/>
              <w:end w:w="95" w:type="dxa"/>
            </w:tcMar>
          </w:tcPr>
          <w:p>
            <w:pPr>
              <w:spacing w:after="0"/>
            </w:pPr>
            <w:r>
              <w:rPr>
                <w:sz w:val="16"/>
              </w:rPr>
              <w:t>Nombre élevé de fichiers</w:t>
            </w:r>
          </w:p>
        </w:tc>
        <w:tc>
          <w:tcPr>
            <w:tcW w:type="dxa" w:w="1944"/>
            <w:vAlign w:val="center"/>
            <w:tcMar>
              <w:top w:w="85" w:type="dxa"/>
              <w:start w:w="95" w:type="dxa"/>
              <w:bottom w:w="85" w:type="dxa"/>
              <w:end w:w="95" w:type="dxa"/>
            </w:tcMar>
          </w:tcPr>
          <w:p>
            <w:pPr>
              <w:spacing w:after="0"/>
            </w:pPr>
            <w:r>
              <w:rPr>
                <w:sz w:val="16"/>
              </w:rPr>
              <w:t>orders_small_files</w:t>
            </w:r>
          </w:p>
        </w:tc>
        <w:tc>
          <w:tcPr>
            <w:tcW w:type="dxa" w:w="2952"/>
            <w:vAlign w:val="center"/>
            <w:tcMar>
              <w:top w:w="85" w:type="dxa"/>
              <w:start w:w="95" w:type="dxa"/>
              <w:bottom w:w="85" w:type="dxa"/>
              <w:end w:w="95" w:type="dxa"/>
            </w:tcMar>
          </w:tcPr>
          <w:p>
            <w:pPr>
              <w:spacing w:after="0"/>
            </w:pPr>
            <w:r>
              <w:rPr>
                <w:sz w:val="16"/>
              </w:rPr>
              <w:t>Coût de listing, planification et ouverture des fichiers</w:t>
            </w:r>
          </w:p>
        </w:tc>
        <w:tc>
          <w:tcPr>
            <w:tcW w:type="dxa" w:w="2592"/>
            <w:vAlign w:val="center"/>
            <w:tcMar>
              <w:top w:w="85" w:type="dxa"/>
              <w:start w:w="95" w:type="dxa"/>
              <w:bottom w:w="85" w:type="dxa"/>
              <w:end w:w="95" w:type="dxa"/>
            </w:tcMar>
          </w:tcPr>
          <w:p>
            <w:pPr>
              <w:spacing w:after="0"/>
            </w:pPr>
            <w:r>
              <w:rPr>
                <w:sz w:val="16"/>
              </w:rPr>
              <w:t>Compaction, coalesce, repartition</w:t>
            </w:r>
          </w:p>
        </w:tc>
      </w:tr>
      <w:tr>
        <w:tc>
          <w:tcPr>
            <w:tcW w:type="dxa" w:w="1872"/>
            <w:shd w:fill="EAF2F8"/>
            <w:vAlign w:val="center"/>
            <w:tcMar>
              <w:top w:w="85" w:type="dxa"/>
              <w:start w:w="95" w:type="dxa"/>
              <w:bottom w:w="85" w:type="dxa"/>
              <w:end w:w="95" w:type="dxa"/>
            </w:tcMar>
          </w:tcPr>
          <w:p>
            <w:pPr>
              <w:spacing w:after="0"/>
            </w:pPr>
            <w:r>
              <w:rPr>
                <w:sz w:val="16"/>
              </w:rPr>
              <w:t>Partitions par date</w:t>
            </w:r>
          </w:p>
        </w:tc>
        <w:tc>
          <w:tcPr>
            <w:tcW w:type="dxa" w:w="1944"/>
            <w:shd w:fill="EAF2F8"/>
            <w:vAlign w:val="center"/>
            <w:tcMar>
              <w:top w:w="85" w:type="dxa"/>
              <w:start w:w="95" w:type="dxa"/>
              <w:bottom w:w="85" w:type="dxa"/>
              <w:end w:w="95" w:type="dxa"/>
            </w:tcMar>
          </w:tcPr>
          <w:p>
            <w:pPr>
              <w:spacing w:after="0"/>
            </w:pPr>
            <w:r>
              <w:rPr>
                <w:sz w:val="16"/>
              </w:rPr>
              <w:t>orders_partitioned et events</w:t>
            </w:r>
          </w:p>
        </w:tc>
        <w:tc>
          <w:tcPr>
            <w:tcW w:type="dxa" w:w="2952"/>
            <w:shd w:fill="EAF2F8"/>
            <w:vAlign w:val="center"/>
            <w:tcMar>
              <w:top w:w="85" w:type="dxa"/>
              <w:start w:w="95" w:type="dxa"/>
              <w:bottom w:w="85" w:type="dxa"/>
              <w:end w:w="95" w:type="dxa"/>
            </w:tcMar>
          </w:tcPr>
          <w:p>
            <w:pPr>
              <w:spacing w:after="0"/>
            </w:pPr>
            <w:r>
              <w:rPr>
                <w:sz w:val="16"/>
              </w:rPr>
              <w:t>Lecture efficace uniquement si la date est filtrée</w:t>
            </w:r>
          </w:p>
        </w:tc>
        <w:tc>
          <w:tcPr>
            <w:tcW w:type="dxa" w:w="2592"/>
            <w:shd w:fill="EAF2F8"/>
            <w:vAlign w:val="center"/>
            <w:tcMar>
              <w:top w:w="85" w:type="dxa"/>
              <w:start w:w="95" w:type="dxa"/>
              <w:bottom w:w="85" w:type="dxa"/>
              <w:end w:w="95" w:type="dxa"/>
            </w:tcMar>
          </w:tcPr>
          <w:p>
            <w:pPr>
              <w:spacing w:after="0"/>
            </w:pPr>
            <w:r>
              <w:rPr>
                <w:sz w:val="16"/>
              </w:rPr>
              <w:t>Partition pruning et filtres précoces</w:t>
            </w:r>
          </w:p>
        </w:tc>
      </w:tr>
    </w:tbl>
    <w:p>
      <w:pPr>
        <w:pStyle w:val="Heading2"/>
      </w:pPr>
      <w:r>
        <w:t>La clé chaude 42</w:t>
      </w:r>
    </w:p>
    <w:p>
      <w:r>
        <w:rPr>
          <w:b/>
        </w:rPr>
        <w:t xml:space="preserve">customer_id = 42 </w:t>
      </w:r>
      <w:r>
        <w:t>représente environ 22 % des commandes et user_id = 42 environ 18 % des événements. Le même identifiant est donc surreprésenté dans les deux grandes tables. Une jointure entre orders et events sur cette clé peut créer un volume extrêmement important et doit être utilisée sur un échantillon ou avec une stratégie maîtrisée.</w:t>
      </w:r>
    </w:p>
    <w:p>
      <w:r>
        <w:br w:type="page"/>
      </w:r>
    </w:p>
    <w:p>
      <w:pPr>
        <w:pStyle w:val="Heading1"/>
      </w:pPr>
      <w:r>
        <w:t>Parcours pédagogique recommandé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792"/>
            <w:shd w:fill="1F4E78"/>
            <w:vAlign w:val="center"/>
            <w:tcMar>
              <w:top w:w="85" w:type="dxa"/>
              <w:start w:w="95" w:type="dxa"/>
              <w:bottom w:w="85" w:type="dxa"/>
              <w:end w:w="95" w:type="dxa"/>
            </w:tcMar>
          </w:tcPr>
          <w:p>
            <w:pPr>
              <w:spacing w:after="0"/>
            </w:pPr>
            <w:r>
              <w:rPr>
                <w:b/>
                <w:color w:val="FFFFFF"/>
                <w:sz w:val="17"/>
              </w:rPr>
              <w:t>Étape</w:t>
            </w:r>
          </w:p>
        </w:tc>
        <w:tc>
          <w:tcPr>
            <w:tcW w:type="dxa" w:w="4464"/>
            <w:shd w:fill="1F4E78"/>
            <w:vAlign w:val="center"/>
            <w:tcMar>
              <w:top w:w="85" w:type="dxa"/>
              <w:start w:w="95" w:type="dxa"/>
              <w:bottom w:w="85" w:type="dxa"/>
              <w:end w:w="95" w:type="dxa"/>
            </w:tcMar>
          </w:tcPr>
          <w:p>
            <w:pPr>
              <w:spacing w:after="0"/>
            </w:pPr>
            <w:r>
              <w:rPr>
                <w:b/>
                <w:color w:val="FFFFFF"/>
                <w:sz w:val="17"/>
              </w:rPr>
              <w:t>Manipulation</w:t>
            </w:r>
          </w:p>
        </w:tc>
        <w:tc>
          <w:tcPr>
            <w:tcW w:type="dxa" w:w="4176"/>
            <w:shd w:fill="1F4E78"/>
            <w:vAlign w:val="center"/>
            <w:tcMar>
              <w:top w:w="85" w:type="dxa"/>
              <w:start w:w="95" w:type="dxa"/>
              <w:bottom w:w="85" w:type="dxa"/>
              <w:end w:w="95" w:type="dxa"/>
            </w:tcMar>
          </w:tcPr>
          <w:p>
            <w:pPr>
              <w:spacing w:after="0"/>
            </w:pPr>
            <w:r>
              <w:rPr>
                <w:b/>
                <w:color w:val="FFFFFF"/>
                <w:sz w:val="17"/>
              </w:rPr>
              <w:t>Observation attendue</w:t>
            </w:r>
          </w:p>
        </w:tc>
      </w:tr>
      <w:tr>
        <w:tc>
          <w:tcPr>
            <w:tcW w:type="dxa" w:w="792"/>
            <w:vAlign w:val="center"/>
            <w:tcMar>
              <w:top w:w="85" w:type="dxa"/>
              <w:start w:w="95" w:type="dxa"/>
              <w:bottom w:w="85" w:type="dxa"/>
              <w:end w:w="95" w:type="dxa"/>
            </w:tcMar>
          </w:tcPr>
          <w:p>
            <w:pPr>
              <w:spacing w:after="0"/>
            </w:pPr>
            <w:r>
              <w:rPr>
                <w:sz w:val="17"/>
              </w:rPr>
              <w:t>1</w:t>
            </w:r>
          </w:p>
        </w:tc>
        <w:tc>
          <w:tcPr>
            <w:tcW w:type="dxa" w:w="4464"/>
            <w:vAlign w:val="center"/>
            <w:tcMar>
              <w:top w:w="85" w:type="dxa"/>
              <w:start w:w="95" w:type="dxa"/>
              <w:bottom w:w="85" w:type="dxa"/>
              <w:end w:w="95" w:type="dxa"/>
            </w:tcMar>
          </w:tcPr>
          <w:p>
            <w:pPr>
              <w:spacing w:after="0"/>
            </w:pPr>
            <w:r>
              <w:rPr>
                <w:sz w:val="17"/>
              </w:rPr>
              <w:t>Lire orders_partitioned sans filtre</w:t>
            </w:r>
          </w:p>
        </w:tc>
        <w:tc>
          <w:tcPr>
            <w:tcW w:type="dxa" w:w="4176"/>
            <w:vAlign w:val="center"/>
            <w:tcMar>
              <w:top w:w="85" w:type="dxa"/>
              <w:start w:w="95" w:type="dxa"/>
              <w:bottom w:w="85" w:type="dxa"/>
              <w:end w:w="95" w:type="dxa"/>
            </w:tcMar>
          </w:tcPr>
          <w:p>
            <w:pPr>
              <w:spacing w:after="0"/>
            </w:pPr>
            <w:r>
              <w:rPr>
                <w:sz w:val="17"/>
              </w:rPr>
              <w:t>Toutes les partitions de date sont candidates.</w:t>
            </w:r>
          </w:p>
        </w:tc>
      </w:tr>
      <w:tr>
        <w:tc>
          <w:tcPr>
            <w:tcW w:type="dxa" w:w="792"/>
            <w:shd w:fill="EAF2F8"/>
            <w:vAlign w:val="center"/>
            <w:tcMar>
              <w:top w:w="85" w:type="dxa"/>
              <w:start w:w="95" w:type="dxa"/>
              <w:bottom w:w="85" w:type="dxa"/>
              <w:end w:w="95" w:type="dxa"/>
            </w:tcMar>
          </w:tcPr>
          <w:p>
            <w:pPr>
              <w:spacing w:after="0"/>
            </w:pPr>
            <w:r>
              <w:rPr>
                <w:sz w:val="17"/>
              </w:rPr>
              <w:t>2</w:t>
            </w:r>
          </w:p>
        </w:tc>
        <w:tc>
          <w:tcPr>
            <w:tcW w:type="dxa" w:w="4464"/>
            <w:shd w:fill="EAF2F8"/>
            <w:vAlign w:val="center"/>
            <w:tcMar>
              <w:top w:w="85" w:type="dxa"/>
              <w:start w:w="95" w:type="dxa"/>
              <w:bottom w:w="85" w:type="dxa"/>
              <w:end w:w="95" w:type="dxa"/>
            </w:tcMar>
          </w:tcPr>
          <w:p>
            <w:pPr>
              <w:spacing w:after="0"/>
            </w:pPr>
            <w:r>
              <w:rPr>
                <w:sz w:val="17"/>
              </w:rPr>
              <w:t>Filtrer janvier 2026</w:t>
            </w:r>
          </w:p>
        </w:tc>
        <w:tc>
          <w:tcPr>
            <w:tcW w:type="dxa" w:w="4176"/>
            <w:shd w:fill="EAF2F8"/>
            <w:vAlign w:val="center"/>
            <w:tcMar>
              <w:top w:w="85" w:type="dxa"/>
              <w:start w:w="95" w:type="dxa"/>
              <w:bottom w:w="85" w:type="dxa"/>
              <w:end w:w="95" w:type="dxa"/>
            </w:tcMar>
          </w:tcPr>
          <w:p>
            <w:pPr>
              <w:spacing w:after="0"/>
            </w:pPr>
            <w:r>
              <w:rPr>
                <w:sz w:val="17"/>
              </w:rPr>
              <w:t>PartitionFilters et réduction du nombre de fichiers lus.</w:t>
            </w:r>
          </w:p>
        </w:tc>
      </w:tr>
      <w:tr>
        <w:tc>
          <w:tcPr>
            <w:tcW w:type="dxa" w:w="792"/>
            <w:vAlign w:val="center"/>
            <w:tcMar>
              <w:top w:w="85" w:type="dxa"/>
              <w:start w:w="95" w:type="dxa"/>
              <w:bottom w:w="85" w:type="dxa"/>
              <w:end w:w="95" w:type="dxa"/>
            </w:tcMar>
          </w:tcPr>
          <w:p>
            <w:pPr>
              <w:spacing w:after="0"/>
            </w:pPr>
            <w:r>
              <w:rPr>
                <w:sz w:val="17"/>
              </w:rPr>
              <w:t>3</w:t>
            </w:r>
          </w:p>
        </w:tc>
        <w:tc>
          <w:tcPr>
            <w:tcW w:type="dxa" w:w="4464"/>
            <w:vAlign w:val="center"/>
            <w:tcMar>
              <w:top w:w="85" w:type="dxa"/>
              <w:start w:w="95" w:type="dxa"/>
              <w:bottom w:w="85" w:type="dxa"/>
              <w:end w:w="95" w:type="dxa"/>
            </w:tcMar>
          </w:tcPr>
          <w:p>
            <w:pPr>
              <w:spacing w:after="0"/>
            </w:pPr>
            <w:r>
              <w:rPr>
                <w:sz w:val="17"/>
              </w:rPr>
              <w:t>Ajouter status = PAID</w:t>
            </w:r>
          </w:p>
        </w:tc>
        <w:tc>
          <w:tcPr>
            <w:tcW w:type="dxa" w:w="4176"/>
            <w:vAlign w:val="center"/>
            <w:tcMar>
              <w:top w:w="85" w:type="dxa"/>
              <w:start w:w="95" w:type="dxa"/>
              <w:bottom w:w="85" w:type="dxa"/>
              <w:end w:w="95" w:type="dxa"/>
            </w:tcMar>
          </w:tcPr>
          <w:p>
            <w:pPr>
              <w:spacing w:after="0"/>
            </w:pPr>
            <w:r>
              <w:rPr>
                <w:sz w:val="17"/>
              </w:rPr>
              <w:t>PushedFilters dans le plan Parquet.</w:t>
            </w:r>
          </w:p>
        </w:tc>
      </w:tr>
      <w:tr>
        <w:tc>
          <w:tcPr>
            <w:tcW w:type="dxa" w:w="792"/>
            <w:shd w:fill="EAF2F8"/>
            <w:vAlign w:val="center"/>
            <w:tcMar>
              <w:top w:w="85" w:type="dxa"/>
              <w:start w:w="95" w:type="dxa"/>
              <w:bottom w:w="85" w:type="dxa"/>
              <w:end w:w="95" w:type="dxa"/>
            </w:tcMar>
          </w:tcPr>
          <w:p>
            <w:pPr>
              <w:spacing w:after="0"/>
            </w:pPr>
            <w:r>
              <w:rPr>
                <w:sz w:val="17"/>
              </w:rPr>
              <w:t>4</w:t>
            </w:r>
          </w:p>
        </w:tc>
        <w:tc>
          <w:tcPr>
            <w:tcW w:type="dxa" w:w="4464"/>
            <w:shd w:fill="EAF2F8"/>
            <w:vAlign w:val="center"/>
            <w:tcMar>
              <w:top w:w="85" w:type="dxa"/>
              <w:start w:w="95" w:type="dxa"/>
              <w:bottom w:w="85" w:type="dxa"/>
              <w:end w:w="95" w:type="dxa"/>
            </w:tcMar>
          </w:tcPr>
          <w:p>
            <w:pPr>
              <w:spacing w:after="0"/>
            </w:pPr>
            <w:r>
              <w:rPr>
                <w:sz w:val="17"/>
              </w:rPr>
              <w:t>Sélectionner quatre colonnes</w:t>
            </w:r>
          </w:p>
        </w:tc>
        <w:tc>
          <w:tcPr>
            <w:tcW w:type="dxa" w:w="4176"/>
            <w:shd w:fill="EAF2F8"/>
            <w:vAlign w:val="center"/>
            <w:tcMar>
              <w:top w:w="85" w:type="dxa"/>
              <w:start w:w="95" w:type="dxa"/>
              <w:bottom w:w="85" w:type="dxa"/>
              <w:end w:w="95" w:type="dxa"/>
            </w:tcMar>
          </w:tcPr>
          <w:p>
            <w:pPr>
              <w:spacing w:after="0"/>
            </w:pPr>
            <w:r>
              <w:rPr>
                <w:sz w:val="17"/>
              </w:rPr>
              <w:t>ReadSchema réduit et debug_payload absent.</w:t>
            </w:r>
          </w:p>
        </w:tc>
      </w:tr>
      <w:tr>
        <w:tc>
          <w:tcPr>
            <w:tcW w:type="dxa" w:w="792"/>
            <w:vAlign w:val="center"/>
            <w:tcMar>
              <w:top w:w="85" w:type="dxa"/>
              <w:start w:w="95" w:type="dxa"/>
              <w:bottom w:w="85" w:type="dxa"/>
              <w:end w:w="95" w:type="dxa"/>
            </w:tcMar>
          </w:tcPr>
          <w:p>
            <w:pPr>
              <w:spacing w:after="0"/>
            </w:pPr>
            <w:r>
              <w:rPr>
                <w:sz w:val="17"/>
              </w:rPr>
              <w:t>5</w:t>
            </w:r>
          </w:p>
        </w:tc>
        <w:tc>
          <w:tcPr>
            <w:tcW w:type="dxa" w:w="4464"/>
            <w:vAlign w:val="center"/>
            <w:tcMar>
              <w:top w:w="85" w:type="dxa"/>
              <w:start w:w="95" w:type="dxa"/>
              <w:bottom w:w="85" w:type="dxa"/>
              <w:end w:w="95" w:type="dxa"/>
            </w:tcMar>
          </w:tcPr>
          <w:p>
            <w:pPr>
              <w:spacing w:after="0"/>
            </w:pPr>
            <w:r>
              <w:rPr>
                <w:sz w:val="17"/>
              </w:rPr>
              <w:t>Joindre countries avec broadcast</w:t>
            </w:r>
          </w:p>
        </w:tc>
        <w:tc>
          <w:tcPr>
            <w:tcW w:type="dxa" w:w="4176"/>
            <w:vAlign w:val="center"/>
            <w:tcMar>
              <w:top w:w="85" w:type="dxa"/>
              <w:start w:w="95" w:type="dxa"/>
              <w:bottom w:w="85" w:type="dxa"/>
              <w:end w:w="95" w:type="dxa"/>
            </w:tcMar>
          </w:tcPr>
          <w:p>
            <w:pPr>
              <w:spacing w:after="0"/>
            </w:pPr>
            <w:r>
              <w:rPr>
                <w:sz w:val="17"/>
              </w:rPr>
              <w:t>BroadcastHashJoin et absence de shuffle de la grande table.</w:t>
            </w:r>
          </w:p>
        </w:tc>
      </w:tr>
      <w:tr>
        <w:tc>
          <w:tcPr>
            <w:tcW w:type="dxa" w:w="792"/>
            <w:shd w:fill="EAF2F8"/>
            <w:vAlign w:val="center"/>
            <w:tcMar>
              <w:top w:w="85" w:type="dxa"/>
              <w:start w:w="95" w:type="dxa"/>
              <w:bottom w:w="85" w:type="dxa"/>
              <w:end w:w="95" w:type="dxa"/>
            </w:tcMar>
          </w:tcPr>
          <w:p>
            <w:pPr>
              <w:spacing w:after="0"/>
            </w:pPr>
            <w:r>
              <w:rPr>
                <w:sz w:val="17"/>
              </w:rPr>
              <w:t>6</w:t>
            </w:r>
          </w:p>
        </w:tc>
        <w:tc>
          <w:tcPr>
            <w:tcW w:type="dxa" w:w="4464"/>
            <w:shd w:fill="EAF2F8"/>
            <w:vAlign w:val="center"/>
            <w:tcMar>
              <w:top w:w="85" w:type="dxa"/>
              <w:start w:w="95" w:type="dxa"/>
              <w:bottom w:w="85" w:type="dxa"/>
              <w:end w:w="95" w:type="dxa"/>
            </w:tcMar>
          </w:tcPr>
          <w:p>
            <w:pPr>
              <w:spacing w:after="0"/>
            </w:pPr>
            <w:r>
              <w:rPr>
                <w:sz w:val="17"/>
              </w:rPr>
              <w:t>Joindre orders à customers</w:t>
            </w:r>
          </w:p>
        </w:tc>
        <w:tc>
          <w:tcPr>
            <w:tcW w:type="dxa" w:w="4176"/>
            <w:shd w:fill="EAF2F8"/>
            <w:vAlign w:val="center"/>
            <w:tcMar>
              <w:top w:w="85" w:type="dxa"/>
              <w:start w:w="95" w:type="dxa"/>
              <w:bottom w:w="85" w:type="dxa"/>
              <w:end w:w="95" w:type="dxa"/>
            </w:tcMar>
          </w:tcPr>
          <w:p>
            <w:pPr>
              <w:spacing w:after="0"/>
            </w:pPr>
            <w:r>
              <w:rPr>
                <w:sz w:val="17"/>
              </w:rPr>
              <w:t>Observer la stratégie choisie et l’effet de la clé 42.</w:t>
            </w:r>
          </w:p>
        </w:tc>
      </w:tr>
      <w:tr>
        <w:tc>
          <w:tcPr>
            <w:tcW w:type="dxa" w:w="792"/>
            <w:vAlign w:val="center"/>
            <w:tcMar>
              <w:top w:w="85" w:type="dxa"/>
              <w:start w:w="95" w:type="dxa"/>
              <w:bottom w:w="85" w:type="dxa"/>
              <w:end w:w="95" w:type="dxa"/>
            </w:tcMar>
          </w:tcPr>
          <w:p>
            <w:pPr>
              <w:spacing w:after="0"/>
            </w:pPr>
            <w:r>
              <w:rPr>
                <w:sz w:val="17"/>
              </w:rPr>
              <w:t>7</w:t>
            </w:r>
          </w:p>
        </w:tc>
        <w:tc>
          <w:tcPr>
            <w:tcW w:type="dxa" w:w="4464"/>
            <w:vAlign w:val="center"/>
            <w:tcMar>
              <w:top w:w="85" w:type="dxa"/>
              <w:start w:w="95" w:type="dxa"/>
              <w:bottom w:w="85" w:type="dxa"/>
              <w:end w:w="95" w:type="dxa"/>
            </w:tcMar>
          </w:tcPr>
          <w:p>
            <w:pPr>
              <w:spacing w:after="0"/>
            </w:pPr>
            <w:r>
              <w:rPr>
                <w:sz w:val="17"/>
              </w:rPr>
              <w:t>Agréger par customer_id</w:t>
            </w:r>
          </w:p>
        </w:tc>
        <w:tc>
          <w:tcPr>
            <w:tcW w:type="dxa" w:w="4176"/>
            <w:vAlign w:val="center"/>
            <w:tcMar>
              <w:top w:w="85" w:type="dxa"/>
              <w:start w:w="95" w:type="dxa"/>
              <w:bottom w:w="85" w:type="dxa"/>
              <w:end w:w="95" w:type="dxa"/>
            </w:tcMar>
          </w:tcPr>
          <w:p>
            <w:pPr>
              <w:spacing w:after="0"/>
            </w:pPr>
            <w:r>
              <w:rPr>
                <w:sz w:val="17"/>
              </w:rPr>
              <w:t>Identifier le skew dans les durées et volumes par tâche.</w:t>
            </w:r>
          </w:p>
        </w:tc>
      </w:tr>
      <w:tr>
        <w:tc>
          <w:tcPr>
            <w:tcW w:type="dxa" w:w="792"/>
            <w:shd w:fill="EAF2F8"/>
            <w:vAlign w:val="center"/>
            <w:tcMar>
              <w:top w:w="85" w:type="dxa"/>
              <w:start w:w="95" w:type="dxa"/>
              <w:bottom w:w="85" w:type="dxa"/>
              <w:end w:w="95" w:type="dxa"/>
            </w:tcMar>
          </w:tcPr>
          <w:p>
            <w:pPr>
              <w:spacing w:after="0"/>
            </w:pPr>
            <w:r>
              <w:rPr>
                <w:sz w:val="17"/>
              </w:rPr>
              <w:t>8</w:t>
            </w:r>
          </w:p>
        </w:tc>
        <w:tc>
          <w:tcPr>
            <w:tcW w:type="dxa" w:w="4464"/>
            <w:shd w:fill="EAF2F8"/>
            <w:vAlign w:val="center"/>
            <w:tcMar>
              <w:top w:w="85" w:type="dxa"/>
              <w:start w:w="95" w:type="dxa"/>
              <w:bottom w:w="85" w:type="dxa"/>
              <w:end w:w="95" w:type="dxa"/>
            </w:tcMar>
          </w:tcPr>
          <w:p>
            <w:pPr>
              <w:spacing w:after="0"/>
            </w:pPr>
            <w:r>
              <w:rPr>
                <w:sz w:val="17"/>
              </w:rPr>
              <w:t>Comparer les deux copies des commandes</w:t>
            </w:r>
          </w:p>
        </w:tc>
        <w:tc>
          <w:tcPr>
            <w:tcW w:type="dxa" w:w="4176"/>
            <w:shd w:fill="EAF2F8"/>
            <w:vAlign w:val="center"/>
            <w:tcMar>
              <w:top w:w="85" w:type="dxa"/>
              <w:start w:w="95" w:type="dxa"/>
              <w:bottom w:w="85" w:type="dxa"/>
              <w:end w:w="95" w:type="dxa"/>
            </w:tcMar>
          </w:tcPr>
          <w:p>
            <w:pPr>
              <w:spacing w:after="0"/>
            </w:pPr>
            <w:r>
              <w:rPr>
                <w:sz w:val="17"/>
              </w:rPr>
              <w:t>Mesurer le coût des petits fichiers.</w:t>
            </w:r>
          </w:p>
        </w:tc>
      </w:tr>
      <w:tr>
        <w:tc>
          <w:tcPr>
            <w:tcW w:type="dxa" w:w="792"/>
            <w:vAlign w:val="center"/>
            <w:tcMar>
              <w:top w:w="85" w:type="dxa"/>
              <w:start w:w="95" w:type="dxa"/>
              <w:bottom w:w="85" w:type="dxa"/>
              <w:end w:w="95" w:type="dxa"/>
            </w:tcMar>
          </w:tcPr>
          <w:p>
            <w:pPr>
              <w:spacing w:after="0"/>
            </w:pPr>
            <w:r>
              <w:rPr>
                <w:sz w:val="17"/>
              </w:rPr>
              <w:t>9</w:t>
            </w:r>
          </w:p>
        </w:tc>
        <w:tc>
          <w:tcPr>
            <w:tcW w:type="dxa" w:w="4464"/>
            <w:vAlign w:val="center"/>
            <w:tcMar>
              <w:top w:w="85" w:type="dxa"/>
              <w:start w:w="95" w:type="dxa"/>
              <w:bottom w:w="85" w:type="dxa"/>
              <w:end w:w="95" w:type="dxa"/>
            </w:tcMar>
          </w:tcPr>
          <w:p>
            <w:pPr>
              <w:spacing w:after="0"/>
            </w:pPr>
            <w:r>
              <w:rPr>
                <w:sz w:val="17"/>
              </w:rPr>
              <w:t>Mettre en cache un résultat réutilisé</w:t>
            </w:r>
          </w:p>
        </w:tc>
        <w:tc>
          <w:tcPr>
            <w:tcW w:type="dxa" w:w="4176"/>
            <w:vAlign w:val="center"/>
            <w:tcMar>
              <w:top w:w="85" w:type="dxa"/>
              <w:start w:w="95" w:type="dxa"/>
              <w:bottom w:w="85" w:type="dxa"/>
              <w:end w:w="95" w:type="dxa"/>
            </w:tcMar>
          </w:tcPr>
          <w:p>
            <w:pPr>
              <w:spacing w:after="0"/>
            </w:pPr>
            <w:r>
              <w:rPr>
                <w:sz w:val="17"/>
              </w:rPr>
              <w:t>Comparer première et seconde action puis libérer le cache.</w:t>
            </w:r>
          </w:p>
        </w:tc>
      </w:tr>
    </w:tbl>
    <w:p>
      <w:pPr>
        <w:pStyle w:val="Heading1"/>
      </w:pPr>
      <w:r>
        <w:t>Commandes de contrôle</w:t>
      </w:r>
    </w:p>
    <w:p>
      <w:pPr>
        <w:ind w:left="360"/>
      </w:pPr>
      <w:r>
        <w:rPr>
          <w:rFonts w:ascii="Consolas" w:hAnsi="Consolas"/>
          <w:sz w:val="19"/>
        </w:rPr>
        <w:t>orders.printSchema()</w:t>
      </w:r>
    </w:p>
    <w:p>
      <w:pPr>
        <w:ind w:left="360"/>
      </w:pPr>
      <w:r>
        <w:rPr>
          <w:rFonts w:ascii="Consolas" w:hAnsi="Consolas"/>
          <w:sz w:val="19"/>
        </w:rPr>
        <w:t>orders.count()</w:t>
      </w:r>
    </w:p>
    <w:p>
      <w:pPr>
        <w:ind w:left="360"/>
      </w:pPr>
      <w:r>
        <w:rPr>
          <w:rFonts w:ascii="Consolas" w:hAnsi="Consolas"/>
          <w:sz w:val="19"/>
        </w:rPr>
        <w:t>orders.rdd.getNumPartitions</w:t>
      </w:r>
    </w:p>
    <w:p>
      <w:pPr>
        <w:ind w:left="360"/>
      </w:pPr>
      <w:r>
        <w:rPr>
          <w:rFonts w:ascii="Consolas" w:hAnsi="Consolas"/>
          <w:sz w:val="19"/>
        </w:rPr>
        <w:t>orders.groupBy("customer_id").count().orderBy(desc("count")).show(10)</w:t>
      </w:r>
    </w:p>
    <w:p>
      <w:pPr>
        <w:ind w:left="360"/>
      </w:pPr>
      <w:r>
        <w:rPr>
          <w:rFonts w:ascii="Consolas" w:hAnsi="Consolas"/>
          <w:sz w:val="19"/>
        </w:rPr>
        <w:t>result.explain("formatted")</w:t>
      </w:r>
    </w:p>
    <w:p>
      <w:pPr>
        <w:pStyle w:val="Heading1"/>
      </w:pPr>
      <w:r>
        <w:t>Points d’attention</w:t>
      </w:r>
    </w:p>
    <w:p>
      <w:pPr>
        <w:pStyle w:val="ListBullet"/>
      </w:pPr>
      <w:r>
        <w:t>Les données sont synthétiques et ne représentent pas des clients ou transactions réels.</w:t>
      </w:r>
    </w:p>
    <w:p>
      <w:pPr>
        <w:pStyle w:val="ListBullet"/>
      </w:pPr>
      <w:r>
        <w:t>Les fonctions rand utilisent des graines fixes, ce qui rend les distributions reproductibles.</w:t>
      </w:r>
    </w:p>
    <w:p>
      <w:pPr>
        <w:pStyle w:val="ListBullet"/>
      </w:pPr>
      <w:r>
        <w:t>Les volumes peuvent être réduits sur une machine peu puissante au moyen des variables d’environnement.</w:t>
      </w:r>
    </w:p>
    <w:p>
      <w:pPr>
        <w:pStyle w:val="ListBullet"/>
      </w:pPr>
      <w:r>
        <w:t>OVERWRITE=true remplace les données déjà présentes dans le répertoire de sortie.</w:t>
      </w:r>
    </w:p>
    <w:p>
      <w:pPr>
        <w:pStyle w:val="ListBullet"/>
      </w:pPr>
      <w:r>
        <w:t>La jointure directe orders–events peut exploser le nombre de lignes à cause de la clé 42 ; commencer par filtrer ou agréger.</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Note sur le jeu de données Spark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Cours Spark Scala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sur le jeu de données Spark</dc:title>
  <dc:subject>Description du jeu de données du cours d’optimisation Spark avec Scala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