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RAPPORT D'AUDIT IA FRUGALE</w:t>
      </w:r>
    </w:p>
    <w:p>
      <w:pPr>
        <w:jc w:val="center"/>
      </w:pPr>
      <w:r>
        <w:rPr>
          <w:i/>
          <w:color w:val="2E75B6"/>
          <w:sz w:val="26"/>
        </w:rPr>
        <w:t>Référentiel AFNOR SPEC 2314 — Référentiel général pour l'IA frugale</w:t>
      </w:r>
    </w:p>
    <w:p/>
    <w:p>
      <w:pPr>
        <w:jc w:val="center"/>
      </w:pPr>
      <w:r>
        <w:rPr>
          <w:b/>
          <w:sz w:val="32"/>
        </w:rPr>
        <w:t>Application auditée : Lexicon (Ekylibre / OSFarm)</w:t>
      </w:r>
    </w:p>
    <w:p/>
    <w:tbl>
      <w:tblPr>
        <w:tblW w:type="auto" w:w="0"/>
        <w:jc w:val="center"/>
        <w:tblLayout w:type="fixed"/>
        <w:tblLook w:firstColumn="1" w:firstRow="1" w:lastColumn="0" w:lastRow="0" w:noHBand="0" w:noVBand="1" w:val="04A0"/>
      </w:tblPr>
      <w:tblGrid>
        <w:gridCol w:w="4986"/>
        <w:gridCol w:w="4986"/>
      </w:tblGrid>
      <w:tr>
        <w:tc>
          <w:tcPr>
            <w:tcW w:type="dxa" w:w="3118"/>
            <w:tcBorders>
              <w:top w:val="single" w:sz="4" w:color="DDDDDD"/>
              <w:left w:val="single" w:sz="4" w:color="DDDDDD"/>
              <w:bottom w:val="single" w:sz="4" w:color="DDDDDD"/>
              <w:right w:val="single" w:sz="4" w:color="DDDDDD"/>
            </w:tcBorders>
          </w:tcPr>
          <w:p>
            <w:r/>
            <w:r>
              <w:rPr>
                <w:b/>
                <w:color w:val="1F4E79"/>
                <w:sz w:val="22"/>
              </w:rPr>
              <w:t>Version analysée</w:t>
            </w:r>
          </w:p>
        </w:tc>
        <w:tc>
          <w:tcPr>
            <w:tcW w:type="dxa" w:w="5953"/>
            <w:tcBorders>
              <w:top w:val="single" w:sz="4" w:color="DDDDDD"/>
              <w:left w:val="single" w:sz="4" w:color="DDDDDD"/>
              <w:bottom w:val="single" w:sz="4" w:color="DDDDDD"/>
              <w:right w:val="single" w:sz="4" w:color="DDDDDD"/>
            </w:tcBorders>
          </w:tcPr>
          <w:p>
            <w:r/>
            <w:r>
              <w:rPr>
                <w:sz w:val="22"/>
              </w:rPr>
              <w:t>6.0.2 (branche main, commit 9f7082a)</w:t>
            </w:r>
          </w:p>
        </w:tc>
      </w:tr>
      <w:tr>
        <w:tc>
          <w:tcPr>
            <w:tcW w:type="dxa" w:w="3118"/>
            <w:tcBorders>
              <w:top w:val="single" w:sz="4" w:color="DDDDDD"/>
              <w:left w:val="single" w:sz="4" w:color="DDDDDD"/>
              <w:bottom w:val="single" w:sz="4" w:color="DDDDDD"/>
              <w:right w:val="single" w:sz="4" w:color="DDDDDD"/>
            </w:tcBorders>
          </w:tcPr>
          <w:p>
            <w:r/>
            <w:r>
              <w:rPr>
                <w:b/>
                <w:color w:val="1F4E79"/>
                <w:sz w:val="22"/>
              </w:rPr>
              <w:t>Date de l'audit</w:t>
            </w:r>
          </w:p>
        </w:tc>
        <w:tc>
          <w:tcPr>
            <w:tcW w:type="dxa" w:w="5953"/>
            <w:tcBorders>
              <w:top w:val="single" w:sz="4" w:color="DDDDDD"/>
              <w:left w:val="single" w:sz="4" w:color="DDDDDD"/>
              <w:bottom w:val="single" w:sz="4" w:color="DDDDDD"/>
              <w:right w:val="single" w:sz="4" w:color="DDDDDD"/>
            </w:tcBorders>
          </w:tcPr>
          <w:p>
            <w:r/>
            <w:r>
              <w:rPr>
                <w:sz w:val="22"/>
              </w:rPr>
              <w:t>27 May 2026</w:t>
            </w:r>
          </w:p>
        </w:tc>
      </w:tr>
      <w:tr>
        <w:tc>
          <w:tcPr>
            <w:tcW w:type="dxa" w:w="3118"/>
            <w:tcBorders>
              <w:top w:val="single" w:sz="4" w:color="DDDDDD"/>
              <w:left w:val="single" w:sz="4" w:color="DDDDDD"/>
              <w:bottom w:val="single" w:sz="4" w:color="DDDDDD"/>
              <w:right w:val="single" w:sz="4" w:color="DDDDDD"/>
            </w:tcBorders>
          </w:tcPr>
          <w:p>
            <w:r/>
            <w:r>
              <w:rPr>
                <w:b/>
                <w:color w:val="1F4E79"/>
                <w:sz w:val="22"/>
              </w:rPr>
              <w:t>Référentiel</w:t>
            </w:r>
          </w:p>
        </w:tc>
        <w:tc>
          <w:tcPr>
            <w:tcW w:type="dxa" w:w="5953"/>
            <w:tcBorders>
              <w:top w:val="single" w:sz="4" w:color="DDDDDD"/>
              <w:left w:val="single" w:sz="4" w:color="DDDDDD"/>
              <w:bottom w:val="single" w:sz="4" w:color="DDDDDD"/>
              <w:right w:val="single" w:sz="4" w:color="DDDDDD"/>
            </w:tcBorders>
          </w:tcPr>
          <w:p>
            <w:r/>
            <w:r>
              <w:rPr>
                <w:sz w:val="22"/>
              </w:rPr>
              <w:t>AFNOR SPEC 2314 — Juin 2024</w:t>
            </w:r>
          </w:p>
        </w:tc>
      </w:tr>
      <w:tr>
        <w:tc>
          <w:tcPr>
            <w:tcW w:type="dxa" w:w="3118"/>
            <w:tcBorders>
              <w:top w:val="single" w:sz="4" w:color="DDDDDD"/>
              <w:left w:val="single" w:sz="4" w:color="DDDDDD"/>
              <w:bottom w:val="single" w:sz="4" w:color="DDDDDD"/>
              <w:right w:val="single" w:sz="4" w:color="DDDDDD"/>
            </w:tcBorders>
          </w:tcPr>
          <w:p>
            <w:r/>
            <w:r>
              <w:rPr>
                <w:b/>
                <w:color w:val="1F4E79"/>
                <w:sz w:val="22"/>
              </w:rPr>
              <w:t>Éditeurs du référentiel</w:t>
            </w:r>
          </w:p>
        </w:tc>
        <w:tc>
          <w:tcPr>
            <w:tcW w:type="dxa" w:w="5953"/>
            <w:tcBorders>
              <w:top w:val="single" w:sz="4" w:color="DDDDDD"/>
              <w:left w:val="single" w:sz="4" w:color="DDDDDD"/>
              <w:bottom w:val="single" w:sz="4" w:color="DDDDDD"/>
              <w:right w:val="single" w:sz="4" w:color="DDDDDD"/>
            </w:tcBorders>
          </w:tcPr>
          <w:p>
            <w:r/>
            <w:r>
              <w:rPr>
                <w:sz w:val="22"/>
              </w:rPr>
              <w:t>Ministère de la Transition Écologique &amp; AFNOR</w:t>
            </w:r>
          </w:p>
        </w:tc>
      </w:tr>
      <w:tr>
        <w:tc>
          <w:tcPr>
            <w:tcW w:type="dxa" w:w="3118"/>
            <w:tcBorders>
              <w:top w:val="single" w:sz="4" w:color="DDDDDD"/>
              <w:left w:val="single" w:sz="4" w:color="DDDDDD"/>
              <w:bottom w:val="single" w:sz="4" w:color="DDDDDD"/>
              <w:right w:val="single" w:sz="4" w:color="DDDDDD"/>
            </w:tcBorders>
          </w:tcPr>
          <w:p>
            <w:r/>
            <w:r>
              <w:rPr>
                <w:b/>
                <w:color w:val="1F4E79"/>
                <w:sz w:val="22"/>
              </w:rPr>
              <w:t>Auditeur</w:t>
            </w:r>
          </w:p>
        </w:tc>
        <w:tc>
          <w:tcPr>
            <w:tcW w:type="dxa" w:w="5953"/>
            <w:tcBorders>
              <w:top w:val="single" w:sz="4" w:color="DDDDDD"/>
              <w:left w:val="single" w:sz="4" w:color="DDDDDD"/>
              <w:bottom w:val="single" w:sz="4" w:color="DDDDDD"/>
              <w:right w:val="single" w:sz="4" w:color="DDDDDD"/>
            </w:tcBorders>
          </w:tcPr>
          <w:p>
            <w:r/>
            <w:r>
              <w:rPr>
                <w:sz w:val="22"/>
              </w:rPr>
              <w:t>Audit statique automatisé (Claude / Anthropic)</w:t>
            </w:r>
          </w:p>
        </w:tc>
      </w:tr>
      <w:tr>
        <w:tc>
          <w:tcPr>
            <w:tcW w:type="dxa" w:w="3118"/>
            <w:tcBorders>
              <w:top w:val="single" w:sz="4" w:color="DDDDDD"/>
              <w:left w:val="single" w:sz="4" w:color="DDDDDD"/>
              <w:bottom w:val="single" w:sz="4" w:color="DDDDDD"/>
              <w:right w:val="single" w:sz="4" w:color="DDDDDD"/>
            </w:tcBorders>
          </w:tcPr>
          <w:p>
            <w:r/>
            <w:r>
              <w:rPr>
                <w:b/>
                <w:color w:val="1F4E79"/>
                <w:sz w:val="22"/>
              </w:rPr>
              <w:t>Type d'analyse</w:t>
            </w:r>
          </w:p>
        </w:tc>
        <w:tc>
          <w:tcPr>
            <w:tcW w:type="dxa" w:w="5953"/>
            <w:tcBorders>
              <w:top w:val="single" w:sz="4" w:color="DDDDDD"/>
              <w:left w:val="single" w:sz="4" w:color="DDDDDD"/>
              <w:bottom w:val="single" w:sz="4" w:color="DDDDDD"/>
              <w:right w:val="single" w:sz="4" w:color="DDDDDD"/>
            </w:tcBorders>
          </w:tcPr>
          <w:p>
            <w:r/>
            <w:r>
              <w:rPr>
                <w:sz w:val="22"/>
              </w:rPr>
              <w:t>Analyse statique de code, d'architecture et d'infrastructure</w:t>
            </w:r>
          </w:p>
        </w:tc>
      </w:tr>
    </w:tbl>
    <w:p>
      <w:r>
        <w:br w:type="page"/>
      </w:r>
    </w:p>
    <w:p>
      <w:pPr>
        <w:pStyle w:val="Heading1"/>
        <w:jc w:val="left"/>
      </w:pPr>
      <w:r>
        <w:rPr>
          <w:color w:val="1F4E79"/>
          <w:sz w:val="40"/>
        </w:rPr>
        <w:t>Sommaire</w:t>
      </w:r>
    </w:p>
    <w:p>
      <w:pPr>
        <w:spacing w:after="60"/>
      </w:pPr>
      <w:r>
        <w:rPr>
          <w:sz w:val="22"/>
        </w:rPr>
        <w:t>1.  Préambule — Délimitation du périmètre</w:t>
      </w:r>
    </w:p>
    <w:p>
      <w:pPr>
        <w:spacing w:after="60"/>
      </w:pPr>
      <w:r>
        <w:rPr>
          <w:sz w:val="22"/>
        </w:rPr>
        <w:t>2.  Score global et niveau de maturité</w:t>
      </w:r>
    </w:p>
    <w:p>
      <w:pPr>
        <w:spacing w:after="60"/>
      </w:pPr>
      <w:r>
        <w:rPr>
          <w:sz w:val="22"/>
        </w:rPr>
        <w:t>3.  Points forts identifiés</w:t>
      </w:r>
    </w:p>
    <w:p>
      <w:pPr>
        <w:spacing w:after="60"/>
      </w:pPr>
      <w:r>
        <w:rPr>
          <w:sz w:val="22"/>
        </w:rPr>
        <w:t>4.  Améliorations prioritaires</w:t>
      </w:r>
    </w:p>
    <w:p>
      <w:pPr>
        <w:spacing w:after="60"/>
      </w:pPr>
      <w:r>
        <w:rPr>
          <w:sz w:val="22"/>
        </w:rPr>
        <w:t>5.  Indicateurs environnementaux à mettre en place</w:t>
      </w:r>
    </w:p>
    <w:p>
      <w:pPr>
        <w:spacing w:after="60"/>
      </w:pPr>
      <w:r>
        <w:rPr>
          <w:sz w:val="22"/>
        </w:rPr>
        <w:t>6.  Plan d'action recommandé</w:t>
      </w:r>
    </w:p>
    <w:p>
      <w:pPr>
        <w:spacing w:after="60"/>
      </w:pPr>
      <w:r>
        <w:rPr>
          <w:sz w:val="22"/>
        </w:rPr>
        <w:t>7.  Référentiel AFNOR — Bonnes pratiques citées</w:t>
      </w:r>
    </w:p>
    <w:p>
      <w:pPr>
        <w:spacing w:after="60"/>
      </w:pPr>
      <w:r>
        <w:rPr>
          <w:sz w:val="22"/>
        </w:rPr>
        <w:t>8.  Avertissement méthodologique</w:t>
      </w:r>
    </w:p>
    <w:p>
      <w:r>
        <w:br w:type="page"/>
      </w:r>
    </w:p>
    <w:p>
      <w:pPr>
        <w:pStyle w:val="Heading1"/>
        <w:jc w:val="left"/>
      </w:pPr>
      <w:r>
        <w:rPr>
          <w:color w:val="1F4E79"/>
          <w:sz w:val="40"/>
        </w:rPr>
        <w:t>1. Préambule — Délimitation du périmètre</w:t>
      </w:r>
    </w:p>
    <w:p>
      <w:pPr>
        <w:spacing w:after="160"/>
      </w:pPr>
      <w:r>
        <w:rPr>
          <w:b w:val="0"/>
          <w:i w:val="0"/>
          <w:sz w:val="22"/>
        </w:rPr>
        <w:t>L'AFNOR SPEC 2314 s'applique aux « systèmes d'IA ». Lexicon est, dans son cœur fonctionnel, un pipeline ETL non-IA (Ruby + Python avec numpy/pandas/lxml/psycopg2 pour la normalisation déterministe de données agricoles et géographiques). Aucun modèle entraîné, aucun appel d'inférence, aucune embedding n'est invoqué par le code Ruby (lib/) ni par les scripts Python (lib/datasources/**/*.py).</w:t>
      </w:r>
    </w:p>
    <w:p>
      <w:pPr>
        <w:spacing w:after="80"/>
      </w:pPr>
      <w:r>
        <w:rPr>
          <w:b w:val="0"/>
          <w:i w:val="0"/>
          <w:sz w:val="22"/>
        </w:rPr>
        <w:t>Cependant, le fichier docker-compose.yml co-déploie trois services qui constituent le périmètre IA effectivement auditable :</w:t>
      </w:r>
    </w:p>
    <w:tbl>
      <w:tblPr>
        <w:tblW w:type="auto" w:w="0"/>
        <w:jc w:val="center"/>
        <w:tblLayout w:type="fixed"/>
        <w:tblLook w:firstColumn="1" w:firstRow="1" w:lastColumn="0" w:lastRow="0" w:noHBand="0" w:noVBand="1" w:val="04A0"/>
      </w:tblPr>
      <w:tblGrid>
        <w:gridCol w:w="3324"/>
        <w:gridCol w:w="3324"/>
        <w:gridCol w:w="3324"/>
      </w:tblGrid>
      <w:tr>
        <w:tc>
          <w:tcPr>
            <w:tcW w:type="dxa" w:w="3118"/>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Service</w:t>
            </w:r>
          </w:p>
        </w:tc>
        <w:tc>
          <w:tcPr>
            <w:tcW w:type="dxa" w:w="3402"/>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Rôle</w:t>
            </w:r>
          </w:p>
        </w:tc>
        <w:tc>
          <w:tcPr>
            <w:tcW w:type="dxa" w:w="2551"/>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Exposition</w:t>
            </w:r>
          </w:p>
        </w:tc>
      </w:tr>
      <w:tr>
        <w:tc>
          <w:tcPr>
            <w:tcW w:type="dxa" w:w="3118"/>
            <w:tcBorders>
              <w:top w:val="single" w:sz="4" w:color="BFBFBF"/>
              <w:left w:val="single" w:sz="4" w:color="BFBFBF"/>
              <w:bottom w:val="single" w:sz="4" w:color="BFBFBF"/>
              <w:right w:val="single" w:sz="4" w:color="BFBFBF"/>
            </w:tcBorders>
            <w:vAlign w:val="center"/>
          </w:tcPr>
          <w:p>
            <w:r/>
            <w:r>
              <w:rPr>
                <w:sz w:val="20"/>
              </w:rPr>
              <w:t>ollama (ollama/ollama:latest)</w:t>
            </w:r>
          </w:p>
        </w:tc>
        <w:tc>
          <w:tcPr>
            <w:tcW w:type="dxa" w:w="3402"/>
            <w:tcBorders>
              <w:top w:val="single" w:sz="4" w:color="BFBFBF"/>
              <w:left w:val="single" w:sz="4" w:color="BFBFBF"/>
              <w:bottom w:val="single" w:sz="4" w:color="BFBFBF"/>
              <w:right w:val="single" w:sz="4" w:color="BFBFBF"/>
            </w:tcBorders>
            <w:vAlign w:val="center"/>
          </w:tcPr>
          <w:p>
            <w:r/>
            <w:r>
              <w:rPr>
                <w:sz w:val="20"/>
              </w:rPr>
              <w:t>Runtime LLM local</w:t>
            </w:r>
          </w:p>
        </w:tc>
        <w:tc>
          <w:tcPr>
            <w:tcW w:type="dxa" w:w="2551"/>
            <w:tcBorders>
              <w:top w:val="single" w:sz="4" w:color="BFBFBF"/>
              <w:left w:val="single" w:sz="4" w:color="BFBFBF"/>
              <w:bottom w:val="single" w:sz="4" w:color="BFBFBF"/>
              <w:right w:val="single" w:sz="4" w:color="BFBFBF"/>
            </w:tcBorders>
            <w:vAlign w:val="center"/>
          </w:tcPr>
          <w:p>
            <w:r/>
            <w:r>
              <w:rPr>
                <w:sz w:val="20"/>
              </w:rPr>
              <w:t>:11434 (réseaux proxy + lexicon)</w:t>
            </w:r>
          </w:p>
        </w:tc>
      </w:tr>
      <w:tr>
        <w:tc>
          <w:tcPr>
            <w:tcW w:type="dxa" w:w="3118"/>
            <w:tcBorders>
              <w:top w:val="single" w:sz="4" w:color="BFBFBF"/>
              <w:left w:val="single" w:sz="4" w:color="BFBFBF"/>
              <w:bottom w:val="single" w:sz="4" w:color="BFBFBF"/>
              <w:right w:val="single" w:sz="4" w:color="BFBFBF"/>
            </w:tcBorders>
            <w:vAlign w:val="center"/>
            <w:shd w:val="clear" w:color="auto" w:fill="F2F2F2"/>
          </w:tcPr>
          <w:p>
            <w:r/>
            <w:r>
              <w:rPr>
                <w:sz w:val="20"/>
              </w:rPr>
              <w:t>openwebui (ghcr.io/open-webui/open-webui:main)</w:t>
            </w:r>
          </w:p>
        </w:tc>
        <w:tc>
          <w:tcPr>
            <w:tcW w:type="dxa" w:w="3402"/>
            <w:tcBorders>
              <w:top w:val="single" w:sz="4" w:color="BFBFBF"/>
              <w:left w:val="single" w:sz="4" w:color="BFBFBF"/>
              <w:bottom w:val="single" w:sz="4" w:color="BFBFBF"/>
              <w:right w:val="single" w:sz="4" w:color="BFBFBF"/>
            </w:tcBorders>
            <w:vAlign w:val="center"/>
            <w:shd w:val="clear" w:color="auto" w:fill="F2F2F2"/>
          </w:tcPr>
          <w:p>
            <w:r/>
            <w:r>
              <w:rPr>
                <w:sz w:val="20"/>
              </w:rPr>
              <w:t>Interface chat web</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https://ia.osfarm.org</w:t>
            </w:r>
          </w:p>
        </w:tc>
      </w:tr>
      <w:tr>
        <w:tc>
          <w:tcPr>
            <w:tcW w:type="dxa" w:w="3118"/>
            <w:tcBorders>
              <w:top w:val="single" w:sz="4" w:color="BFBFBF"/>
              <w:left w:val="single" w:sz="4" w:color="BFBFBF"/>
              <w:bottom w:val="single" w:sz="4" w:color="BFBFBF"/>
              <w:right w:val="single" w:sz="4" w:color="BFBFBF"/>
            </w:tcBorders>
            <w:vAlign w:val="center"/>
          </w:tcPr>
          <w:p>
            <w:r/>
            <w:r>
              <w:rPr>
                <w:sz w:val="20"/>
              </w:rPr>
              <w:t>n8n (docker.n8n.io/n8nio/n8n)</w:t>
            </w:r>
          </w:p>
        </w:tc>
        <w:tc>
          <w:tcPr>
            <w:tcW w:type="dxa" w:w="3402"/>
            <w:tcBorders>
              <w:top w:val="single" w:sz="4" w:color="BFBFBF"/>
              <w:left w:val="single" w:sz="4" w:color="BFBFBF"/>
              <w:bottom w:val="single" w:sz="4" w:color="BFBFBF"/>
              <w:right w:val="single" w:sz="4" w:color="BFBFBF"/>
            </w:tcBorders>
            <w:vAlign w:val="center"/>
          </w:tcPr>
          <w:p>
            <w:r/>
            <w:r>
              <w:rPr>
                <w:sz w:val="20"/>
              </w:rPr>
              <w:t>Automatisation, peut invoquer Ollama</w:t>
            </w:r>
          </w:p>
        </w:tc>
        <w:tc>
          <w:tcPr>
            <w:tcW w:type="dxa" w:w="2551"/>
            <w:tcBorders>
              <w:top w:val="single" w:sz="4" w:color="BFBFBF"/>
              <w:left w:val="single" w:sz="4" w:color="BFBFBF"/>
              <w:bottom w:val="single" w:sz="4" w:color="BFBFBF"/>
              <w:right w:val="single" w:sz="4" w:color="BFBFBF"/>
            </w:tcBorders>
            <w:vAlign w:val="center"/>
          </w:tcPr>
          <w:p>
            <w:r/>
            <w:r>
              <w:rPr>
                <w:sz w:val="20"/>
              </w:rPr>
              <w:t>https://n8n.osfarm.org</w:t>
            </w:r>
          </w:p>
        </w:tc>
      </w:tr>
    </w:tbl>
    <w:p/>
    <w:tbl>
      <w:tblPr>
        <w:tblW w:type="auto" w:w="0"/>
        <w:jc w:val="center"/>
        <w:tblLook w:firstColumn="1" w:firstRow="1" w:lastColumn="0" w:lastRow="0" w:noHBand="0" w:noVBand="1" w:val="04A0"/>
      </w:tblPr>
      <w:tblGrid>
        <w:gridCol w:w="9972"/>
      </w:tblGrid>
      <w:tr>
        <w:tc>
          <w:tcPr>
            <w:tcW w:type="dxa" w:w="9071"/>
            <w:shd w:val="clear" w:color="auto" w:fill="FFF2CC"/>
            <w:tcBorders>
              <w:top w:val="single" w:sz="4" w:color="BF8F00"/>
              <w:right w:val="single" w:sz="4" w:color="BF8F00"/>
              <w:bottom w:val="single" w:sz="4" w:color="BF8F00"/>
              <w:left w:val="single" w:sz="24" w:color="BF8F00"/>
            </w:tcBorders>
          </w:tcPr>
          <w:p>
            <w:pPr>
              <w:spacing w:after="80"/>
            </w:pPr>
            <w:r/>
            <w:r>
              <w:rPr>
                <w:b/>
                <w:sz w:val="22"/>
              </w:rPr>
              <w:t>Cadrage de l'audit</w:t>
            </w:r>
          </w:p>
          <w:p>
            <w:r>
              <w:rPr>
                <w:sz w:val="20"/>
              </w:rPr>
              <w:t>L'audit ci-dessous évalue cette stack IA. Le score global pénalise principalement l'absence de gouvernance et de mesure autour d'Ollama / OpenWebUI, et récompense l'application stricte de BP02 (choix de la non-IA) sur le cœur métier de Lexicon.</w:t>
            </w:r>
          </w:p>
        </w:tc>
      </w:tr>
    </w:tbl>
    <w:p/>
    <w:p>
      <w:pPr>
        <w:pStyle w:val="Heading1"/>
        <w:jc w:val="left"/>
      </w:pPr>
      <w:r>
        <w:rPr>
          <w:color w:val="1F4E79"/>
          <w:sz w:val="40"/>
        </w:rPr>
        <w:t>2. Score global et niveau de maturité</w:t>
      </w:r>
    </w:p>
    <w:p>
      <w:pPr>
        <w:jc w:val="center"/>
      </w:pPr>
      <w:r>
        <w:rPr>
          <w:b/>
          <w:color w:val="C05500"/>
          <w:sz w:val="56"/>
        </w:rPr>
        <w:t>SCORE GLOBAL  :  43 / 100</w:t>
      </w:r>
    </w:p>
    <w:p>
      <w:pPr>
        <w:jc w:val="center"/>
      </w:pPr>
      <w:r>
        <w:rPr>
          <w:b/>
          <w:color w:val="C05500"/>
          <w:sz w:val="28"/>
        </w:rPr>
        <w:t>Niveau : INSUFFISANT — Améliorations urgentes requises</w:t>
      </w:r>
    </w:p>
    <w:p/>
    <w:p>
      <w:pPr>
        <w:pStyle w:val="Heading2"/>
        <w:jc w:val="left"/>
      </w:pPr>
      <w:r>
        <w:rPr>
          <w:color w:val="1F4E79"/>
          <w:sz w:val="30"/>
        </w:rPr>
        <w:t>2.1 Détail par domaine</w:t>
      </w:r>
    </w:p>
    <w:tbl>
      <w:tblPr>
        <w:tblW w:type="auto" w:w="0"/>
        <w:jc w:val="center"/>
        <w:tblLayout w:type="fixed"/>
        <w:tblLook w:firstColumn="1" w:firstRow="1" w:lastColumn="0" w:lastRow="0" w:noHBand="0" w:noVBand="1" w:val="04A0"/>
      </w:tblPr>
      <w:tblGrid>
        <w:gridCol w:w="3324"/>
        <w:gridCol w:w="3324"/>
        <w:gridCol w:w="3324"/>
      </w:tblGrid>
      <w:tr>
        <w:tc>
          <w:tcPr>
            <w:tcW w:type="dxa" w:w="5102"/>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Domaine</w:t>
            </w:r>
          </w:p>
        </w:tc>
        <w:tc>
          <w:tcPr>
            <w:tcW w:type="dxa" w:w="2268"/>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Score obtenu</w:t>
            </w:r>
          </w:p>
        </w:tc>
        <w:tc>
          <w:tcPr>
            <w:tcW w:type="dxa" w:w="1701"/>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Score max</w:t>
            </w:r>
          </w:p>
        </w:tc>
      </w:tr>
      <w:tr>
        <w:tc>
          <w:tcPr>
            <w:tcW w:type="dxa" w:w="5102"/>
            <w:tcBorders>
              <w:top w:val="single" w:sz="4" w:color="BFBFBF"/>
              <w:left w:val="single" w:sz="4" w:color="BFBFBF"/>
              <w:bottom w:val="single" w:sz="4" w:color="BFBFBF"/>
              <w:right w:val="single" w:sz="4" w:color="BFBFBF"/>
            </w:tcBorders>
            <w:vAlign w:val="center"/>
          </w:tcPr>
          <w:p>
            <w:r/>
            <w:r>
              <w:rPr>
                <w:sz w:val="20"/>
              </w:rPr>
              <w:t>1. Pertinence &amp; Gouvernance</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20"/>
              </w:rPr>
              <w:t>12</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20"/>
              </w:rPr>
              <w:t>25</w:t>
            </w:r>
          </w:p>
        </w:tc>
      </w:tr>
      <w:tr>
        <w:tc>
          <w:tcPr>
            <w:tcW w:type="dxa" w:w="5102"/>
            <w:tcBorders>
              <w:top w:val="single" w:sz="4" w:color="BFBFBF"/>
              <w:left w:val="single" w:sz="4" w:color="BFBFBF"/>
              <w:bottom w:val="single" w:sz="4" w:color="BFBFBF"/>
              <w:right w:val="single" w:sz="4" w:color="BFBFBF"/>
            </w:tcBorders>
            <w:vAlign w:val="center"/>
            <w:shd w:val="clear" w:color="auto" w:fill="F2F2F2"/>
          </w:tcPr>
          <w:p>
            <w:r/>
            <w:r>
              <w:rPr>
                <w:sz w:val="20"/>
              </w:rPr>
              <w:t>2. Modèle &amp; Algorithme</w:t>
            </w:r>
          </w:p>
        </w:tc>
        <w:tc>
          <w:tcPr>
            <w:tcW w:type="dxa" w:w="2268"/>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7</w:t>
            </w:r>
          </w:p>
        </w:tc>
        <w:tc>
          <w:tcPr>
            <w:tcW w:type="dxa" w:w="1701"/>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25</w:t>
            </w:r>
          </w:p>
        </w:tc>
      </w:tr>
      <w:tr>
        <w:tc>
          <w:tcPr>
            <w:tcW w:type="dxa" w:w="5102"/>
            <w:tcBorders>
              <w:top w:val="single" w:sz="4" w:color="BFBFBF"/>
              <w:left w:val="single" w:sz="4" w:color="BFBFBF"/>
              <w:bottom w:val="single" w:sz="4" w:color="BFBFBF"/>
              <w:right w:val="single" w:sz="4" w:color="BFBFBF"/>
            </w:tcBorders>
            <w:vAlign w:val="center"/>
          </w:tcPr>
          <w:p>
            <w:r/>
            <w:r>
              <w:rPr>
                <w:sz w:val="20"/>
              </w:rPr>
              <w:t>3. Données</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20"/>
              </w:rPr>
              <w:t>14</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20"/>
              </w:rPr>
              <w:t>25</w:t>
            </w:r>
          </w:p>
        </w:tc>
      </w:tr>
      <w:tr>
        <w:tc>
          <w:tcPr>
            <w:tcW w:type="dxa" w:w="5102"/>
            <w:tcBorders>
              <w:top w:val="single" w:sz="4" w:color="BFBFBF"/>
              <w:left w:val="single" w:sz="4" w:color="BFBFBF"/>
              <w:bottom w:val="single" w:sz="4" w:color="BFBFBF"/>
              <w:right w:val="single" w:sz="4" w:color="BFBFBF"/>
            </w:tcBorders>
            <w:vAlign w:val="center"/>
            <w:shd w:val="clear" w:color="auto" w:fill="F2F2F2"/>
          </w:tcPr>
          <w:p>
            <w:r/>
            <w:r>
              <w:rPr>
                <w:sz w:val="20"/>
              </w:rPr>
              <w:t>4. Infrastructure &amp; Ressources</w:t>
            </w:r>
          </w:p>
        </w:tc>
        <w:tc>
          <w:tcPr>
            <w:tcW w:type="dxa" w:w="2268"/>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10</w:t>
            </w:r>
          </w:p>
        </w:tc>
        <w:tc>
          <w:tcPr>
            <w:tcW w:type="dxa" w:w="1701"/>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25</w:t>
            </w:r>
          </w:p>
        </w:tc>
      </w:tr>
      <w:tr>
        <w:tc>
          <w:tcPr>
            <w:tcW w:type="dxa" w:w="5102"/>
            <w:tcBorders>
              <w:top w:val="single" w:sz="4" w:color="BFBFBF"/>
              <w:left w:val="single" w:sz="4" w:color="BFBFBF"/>
              <w:bottom w:val="single" w:sz="4" w:color="BFBFBF"/>
              <w:right w:val="single" w:sz="4" w:color="BFBFBF"/>
            </w:tcBorders>
            <w:vAlign w:val="center"/>
          </w:tcPr>
          <w:p>
            <w:r/>
            <w:r>
              <w:rPr>
                <w:sz w:val="20"/>
              </w:rPr>
              <w:t>TOTAL</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20"/>
              </w:rPr>
              <w:t>43</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20"/>
              </w:rPr>
              <w:t>100</w:t>
            </w:r>
          </w:p>
        </w:tc>
      </w:tr>
    </w:tbl>
    <w:p/>
    <w:p>
      <w:pPr>
        <w:pStyle w:val="Heading2"/>
        <w:jc w:val="left"/>
      </w:pPr>
      <w:r>
        <w:rPr>
          <w:color w:val="1F4E79"/>
          <w:sz w:val="30"/>
        </w:rPr>
        <w:t>2.2 Échelle de maturité AFNOR</w:t>
      </w:r>
    </w:p>
    <w:tbl>
      <w:tblPr>
        <w:tblW w:type="auto" w:w="0"/>
        <w:jc w:val="center"/>
        <w:tblLook w:firstColumn="1" w:firstRow="1" w:lastColumn="0" w:lastRow="0" w:noHBand="0" w:noVBand="1" w:val="04A0"/>
      </w:tblPr>
      <w:tblGrid>
        <w:gridCol w:w="3324"/>
        <w:gridCol w:w="3324"/>
        <w:gridCol w:w="3324"/>
      </w:tblGrid>
      <w:tr>
        <w:tc>
          <w:tcPr>
            <w:tcW w:type="dxa" w:w="3324"/>
            <w:shd w:val="clear" w:color="auto" w:fill="1F4E79"/>
            <w:tcBorders>
              <w:top w:val="single" w:sz="4" w:color="BFBFBF"/>
              <w:left w:val="single" w:sz="4" w:color="BFBFBF"/>
              <w:bottom w:val="single" w:sz="4" w:color="BFBFBF"/>
              <w:right w:val="single" w:sz="4" w:color="BFBFBF"/>
            </w:tcBorders>
          </w:tcPr>
          <w:p>
            <w:pPr>
              <w:jc w:val="center"/>
            </w:pPr>
            <w:r/>
            <w:r>
              <w:rPr>
                <w:b/>
                <w:color w:val="FFFFFF"/>
              </w:rPr>
              <w:t>Plage de score</w:t>
            </w:r>
          </w:p>
        </w:tc>
        <w:tc>
          <w:tcPr>
            <w:tcW w:type="dxa" w:w="3324"/>
            <w:shd w:val="clear" w:color="auto" w:fill="1F4E79"/>
            <w:tcBorders>
              <w:top w:val="single" w:sz="4" w:color="BFBFBF"/>
              <w:left w:val="single" w:sz="4" w:color="BFBFBF"/>
              <w:bottom w:val="single" w:sz="4" w:color="BFBFBF"/>
              <w:right w:val="single" w:sz="4" w:color="BFBFBF"/>
            </w:tcBorders>
          </w:tcPr>
          <w:p>
            <w:pPr>
              <w:jc w:val="center"/>
            </w:pPr>
            <w:r/>
            <w:r>
              <w:rPr>
                <w:b/>
                <w:color w:val="FFFFFF"/>
              </w:rPr>
              <w:t>Niveau</w:t>
            </w:r>
          </w:p>
        </w:tc>
        <w:tc>
          <w:tcPr>
            <w:tcW w:type="dxa" w:w="3324"/>
            <w:shd w:val="clear" w:color="auto" w:fill="1F4E79"/>
            <w:tcBorders>
              <w:top w:val="single" w:sz="4" w:color="BFBFBF"/>
              <w:left w:val="single" w:sz="4" w:color="BFBFBF"/>
              <w:bottom w:val="single" w:sz="4" w:color="BFBFBF"/>
              <w:right w:val="single" w:sz="4" w:color="BFBFBF"/>
            </w:tcBorders>
          </w:tcPr>
          <w:p>
            <w:pPr>
              <w:jc w:val="center"/>
            </w:pPr>
            <w:r/>
            <w:r>
              <w:rPr>
                <w:b/>
                <w:color w:val="FFFFFF"/>
              </w:rPr>
              <w:t>Interprétation</w:t>
            </w:r>
          </w:p>
        </w:tc>
      </w:tr>
      <w:tr>
        <w:tc>
          <w:tcPr>
            <w:tcW w:type="dxa" w:w="3324"/>
            <w:tcBorders>
              <w:top w:val="single" w:sz="4" w:color="BFBFBF"/>
              <w:left w:val="single" w:sz="4" w:color="BFBFBF"/>
              <w:bottom w:val="single" w:sz="4" w:color="BFBFBF"/>
              <w:right w:val="single" w:sz="4" w:color="BFBFBF"/>
            </w:tcBorders>
          </w:tcPr>
          <w:p>
            <w:pPr>
              <w:jc w:val="center"/>
            </w:pPr>
            <w:r/>
            <w:r>
              <w:rPr>
                <w:sz w:val="20"/>
              </w:rPr>
              <w:t>0 – 25</w:t>
            </w:r>
          </w:p>
        </w:tc>
        <w:tc>
          <w:tcPr>
            <w:tcW w:type="dxa" w:w="3324"/>
            <w:tcBorders>
              <w:top w:val="single" w:sz="4" w:color="BFBFBF"/>
              <w:left w:val="single" w:sz="4" w:color="BFBFBF"/>
              <w:bottom w:val="single" w:sz="4" w:color="BFBFBF"/>
              <w:right w:val="single" w:sz="4" w:color="BFBFBF"/>
            </w:tcBorders>
          </w:tcPr>
          <w:p>
            <w:r/>
            <w:r>
              <w:rPr>
                <w:b/>
                <w:color w:val="B00000"/>
                <w:sz w:val="20"/>
              </w:rPr>
              <w:t>Non-conforme</w:t>
            </w:r>
          </w:p>
        </w:tc>
        <w:tc>
          <w:tcPr>
            <w:tcW w:type="dxa" w:w="3324"/>
            <w:tcBorders>
              <w:top w:val="single" w:sz="4" w:color="BFBFBF"/>
              <w:left w:val="single" w:sz="4" w:color="BFBFBF"/>
              <w:bottom w:val="single" w:sz="4" w:color="BFBFBF"/>
              <w:right w:val="single" w:sz="4" w:color="BFBFBF"/>
            </w:tcBorders>
          </w:tcPr>
          <w:p>
            <w:r/>
            <w:r>
              <w:rPr>
                <w:sz w:val="20"/>
              </w:rPr>
              <w:t>Risques environnementaux majeurs</w:t>
            </w:r>
          </w:p>
        </w:tc>
      </w:tr>
      <w:tr>
        <w:tc>
          <w:tcPr>
            <w:tcW w:type="dxa" w:w="3324"/>
            <w:tcBorders>
              <w:top w:val="single" w:sz="4" w:color="BFBFBF"/>
              <w:left w:val="single" w:sz="4" w:color="BFBFBF"/>
              <w:bottom w:val="single" w:sz="4" w:color="BFBFBF"/>
              <w:right w:val="single" w:sz="4" w:color="BFBFBF"/>
            </w:tcBorders>
            <w:shd w:val="clear" w:color="auto" w:fill="FFE9D6"/>
          </w:tcPr>
          <w:p>
            <w:pPr>
              <w:jc w:val="center"/>
            </w:pPr>
            <w:r/>
            <w:r>
              <w:rPr>
                <w:sz w:val="20"/>
              </w:rPr>
              <w:t>26 – 50</w:t>
            </w:r>
          </w:p>
        </w:tc>
        <w:tc>
          <w:tcPr>
            <w:tcW w:type="dxa" w:w="3324"/>
            <w:tcBorders>
              <w:top w:val="single" w:sz="4" w:color="BFBFBF"/>
              <w:left w:val="single" w:sz="4" w:color="BFBFBF"/>
              <w:bottom w:val="single" w:sz="4" w:color="BFBFBF"/>
              <w:right w:val="single" w:sz="4" w:color="BFBFBF"/>
            </w:tcBorders>
            <w:shd w:val="clear" w:color="auto" w:fill="FFE9D6"/>
          </w:tcPr>
          <w:p>
            <w:r/>
            <w:r>
              <w:rPr>
                <w:b/>
                <w:color w:val="C05500"/>
                <w:sz w:val="20"/>
              </w:rPr>
              <w:t>Insuffisant</w:t>
            </w:r>
          </w:p>
        </w:tc>
        <w:tc>
          <w:tcPr>
            <w:tcW w:type="dxa" w:w="3324"/>
            <w:tcBorders>
              <w:top w:val="single" w:sz="4" w:color="BFBFBF"/>
              <w:left w:val="single" w:sz="4" w:color="BFBFBF"/>
              <w:bottom w:val="single" w:sz="4" w:color="BFBFBF"/>
              <w:right w:val="single" w:sz="4" w:color="BFBFBF"/>
            </w:tcBorders>
            <w:shd w:val="clear" w:color="auto" w:fill="FFE9D6"/>
          </w:tcPr>
          <w:p>
            <w:r/>
            <w:r>
              <w:rPr>
                <w:sz w:val="20"/>
              </w:rPr>
              <w:t>Améliorations urgentes requises</w:t>
            </w:r>
          </w:p>
        </w:tc>
      </w:tr>
      <w:tr>
        <w:tc>
          <w:tcPr>
            <w:tcW w:type="dxa" w:w="3324"/>
            <w:tcBorders>
              <w:top w:val="single" w:sz="4" w:color="BFBFBF"/>
              <w:left w:val="single" w:sz="4" w:color="BFBFBF"/>
              <w:bottom w:val="single" w:sz="4" w:color="BFBFBF"/>
              <w:right w:val="single" w:sz="4" w:color="BFBFBF"/>
            </w:tcBorders>
          </w:tcPr>
          <w:p>
            <w:pPr>
              <w:jc w:val="center"/>
            </w:pPr>
            <w:r/>
            <w:r>
              <w:rPr>
                <w:sz w:val="20"/>
              </w:rPr>
              <w:t>51 – 70</w:t>
            </w:r>
          </w:p>
        </w:tc>
        <w:tc>
          <w:tcPr>
            <w:tcW w:type="dxa" w:w="3324"/>
            <w:tcBorders>
              <w:top w:val="single" w:sz="4" w:color="BFBFBF"/>
              <w:left w:val="single" w:sz="4" w:color="BFBFBF"/>
              <w:bottom w:val="single" w:sz="4" w:color="BFBFBF"/>
              <w:right w:val="single" w:sz="4" w:color="BFBFBF"/>
            </w:tcBorders>
          </w:tcPr>
          <w:p>
            <w:r/>
            <w:r>
              <w:rPr>
                <w:b/>
                <w:color w:val="BF8F00"/>
                <w:sz w:val="20"/>
              </w:rPr>
              <w:t>En progression</w:t>
            </w:r>
          </w:p>
        </w:tc>
        <w:tc>
          <w:tcPr>
            <w:tcW w:type="dxa" w:w="3324"/>
            <w:tcBorders>
              <w:top w:val="single" w:sz="4" w:color="BFBFBF"/>
              <w:left w:val="single" w:sz="4" w:color="BFBFBF"/>
              <w:bottom w:val="single" w:sz="4" w:color="BFBFBF"/>
              <w:right w:val="single" w:sz="4" w:color="BFBFBF"/>
            </w:tcBorders>
          </w:tcPr>
          <w:p>
            <w:r/>
            <w:r>
              <w:rPr>
                <w:sz w:val="20"/>
              </w:rPr>
              <w:t>Bonnes pratiques partiellement adoptées</w:t>
            </w:r>
          </w:p>
        </w:tc>
      </w:tr>
      <w:tr>
        <w:tc>
          <w:tcPr>
            <w:tcW w:type="dxa" w:w="3324"/>
            <w:tcBorders>
              <w:top w:val="single" w:sz="4" w:color="BFBFBF"/>
              <w:left w:val="single" w:sz="4" w:color="BFBFBF"/>
              <w:bottom w:val="single" w:sz="4" w:color="BFBFBF"/>
              <w:right w:val="single" w:sz="4" w:color="BFBFBF"/>
            </w:tcBorders>
          </w:tcPr>
          <w:p>
            <w:pPr>
              <w:jc w:val="center"/>
            </w:pPr>
            <w:r/>
            <w:r>
              <w:rPr>
                <w:sz w:val="20"/>
              </w:rPr>
              <w:t>71 – 85</w:t>
            </w:r>
          </w:p>
        </w:tc>
        <w:tc>
          <w:tcPr>
            <w:tcW w:type="dxa" w:w="3324"/>
            <w:tcBorders>
              <w:top w:val="single" w:sz="4" w:color="BFBFBF"/>
              <w:left w:val="single" w:sz="4" w:color="BFBFBF"/>
              <w:bottom w:val="single" w:sz="4" w:color="BFBFBF"/>
              <w:right w:val="single" w:sz="4" w:color="BFBFBF"/>
            </w:tcBorders>
          </w:tcPr>
          <w:p>
            <w:r/>
            <w:r>
              <w:rPr>
                <w:b/>
                <w:color w:val="38761D"/>
                <w:sz w:val="20"/>
              </w:rPr>
              <w:t>Conforme</w:t>
            </w:r>
          </w:p>
        </w:tc>
        <w:tc>
          <w:tcPr>
            <w:tcW w:type="dxa" w:w="3324"/>
            <w:tcBorders>
              <w:top w:val="single" w:sz="4" w:color="BFBFBF"/>
              <w:left w:val="single" w:sz="4" w:color="BFBFBF"/>
              <w:bottom w:val="single" w:sz="4" w:color="BFBFBF"/>
              <w:right w:val="single" w:sz="4" w:color="BFBFBF"/>
            </w:tcBorders>
          </w:tcPr>
          <w:p>
            <w:r/>
            <w:r>
              <w:rPr>
                <w:sz w:val="20"/>
              </w:rPr>
              <w:t>IA frugale largement respectée</w:t>
            </w:r>
          </w:p>
        </w:tc>
      </w:tr>
      <w:tr>
        <w:tc>
          <w:tcPr>
            <w:tcW w:type="dxa" w:w="3324"/>
            <w:tcBorders>
              <w:top w:val="single" w:sz="4" w:color="BFBFBF"/>
              <w:left w:val="single" w:sz="4" w:color="BFBFBF"/>
              <w:bottom w:val="single" w:sz="4" w:color="BFBFBF"/>
              <w:right w:val="single" w:sz="4" w:color="BFBFBF"/>
            </w:tcBorders>
          </w:tcPr>
          <w:p>
            <w:pPr>
              <w:jc w:val="center"/>
            </w:pPr>
            <w:r/>
            <w:r>
              <w:rPr>
                <w:sz w:val="20"/>
              </w:rPr>
              <w:t>86 – 100</w:t>
            </w:r>
          </w:p>
        </w:tc>
        <w:tc>
          <w:tcPr>
            <w:tcW w:type="dxa" w:w="3324"/>
            <w:tcBorders>
              <w:top w:val="single" w:sz="4" w:color="BFBFBF"/>
              <w:left w:val="single" w:sz="4" w:color="BFBFBF"/>
              <w:bottom w:val="single" w:sz="4" w:color="BFBFBF"/>
              <w:right w:val="single" w:sz="4" w:color="BFBFBF"/>
            </w:tcBorders>
          </w:tcPr>
          <w:p>
            <w:r/>
            <w:r>
              <w:rPr>
                <w:b/>
                <w:color w:val="2E7D32"/>
                <w:sz w:val="20"/>
              </w:rPr>
              <w:t>Exemplaire</w:t>
            </w:r>
          </w:p>
        </w:tc>
        <w:tc>
          <w:tcPr>
            <w:tcW w:type="dxa" w:w="3324"/>
            <w:tcBorders>
              <w:top w:val="single" w:sz="4" w:color="BFBFBF"/>
              <w:left w:val="single" w:sz="4" w:color="BFBFBF"/>
              <w:bottom w:val="single" w:sz="4" w:color="BFBFBF"/>
              <w:right w:val="single" w:sz="4" w:color="BFBFBF"/>
            </w:tcBorders>
          </w:tcPr>
          <w:p>
            <w:r/>
            <w:r>
              <w:rPr>
                <w:sz w:val="20"/>
              </w:rPr>
              <w:t>Référence en matière d'IA frugale</w:t>
            </w:r>
          </w:p>
        </w:tc>
      </w:tr>
    </w:tbl>
    <w:p/>
    <w:tbl>
      <w:tblPr>
        <w:tblW w:type="auto" w:w="0"/>
        <w:jc w:val="center"/>
        <w:tblLook w:firstColumn="1" w:firstRow="1" w:lastColumn="0" w:lastRow="0" w:noHBand="0" w:noVBand="1" w:val="04A0"/>
      </w:tblPr>
      <w:tblGrid>
        <w:gridCol w:w="9972"/>
      </w:tblGrid>
      <w:tr>
        <w:tc>
          <w:tcPr>
            <w:tcW w:type="dxa" w:w="9071"/>
            <w:shd w:val="clear" w:color="auto" w:fill="FFF2CC"/>
            <w:tcBorders>
              <w:top w:val="single" w:sz="4" w:color="BF8F00"/>
              <w:right w:val="single" w:sz="4" w:color="BF8F00"/>
              <w:bottom w:val="single" w:sz="4" w:color="BF8F00"/>
              <w:left w:val="single" w:sz="24" w:color="BF8F00"/>
            </w:tcBorders>
          </w:tcPr>
          <w:p>
            <w:pPr>
              <w:spacing w:after="80"/>
            </w:pPr>
            <w:r/>
            <w:r>
              <w:rPr>
                <w:b/>
                <w:sz w:val="22"/>
              </w:rPr>
              <w:t>Lecture du score</w:t>
            </w:r>
          </w:p>
          <w:p>
            <w:r>
              <w:rPr>
                <w:sz w:val="20"/>
              </w:rPr>
              <w:t>Lexicon adopte des pratiques frugales implicites et solides sur son cœur ETL non-IA (compression, flavors, formats ouverts, déduplication, BP02 respecté nativement). En revanche, la stack Ollama/OpenWebUI est déployée sans gouvernance frugale formalisée (pas de justification du besoin, pas de mesure de consommation, pas de sélection de modèles documentée, pas de critère de fin de vie). Le score reflète cet écart entre les bonnes pratiques ETL et l'absence totale de cadre pour la couche IA.</w:t>
            </w:r>
          </w:p>
        </w:tc>
      </w:tr>
    </w:tbl>
    <w:p/>
    <w:p>
      <w:r>
        <w:br w:type="page"/>
      </w:r>
    </w:p>
    <w:p>
      <w:pPr>
        <w:pStyle w:val="Heading1"/>
        <w:jc w:val="left"/>
      </w:pPr>
      <w:r>
        <w:rPr>
          <w:color w:val="1F4E79"/>
          <w:sz w:val="40"/>
        </w:rPr>
        <w:t>3. Points forts identifiés</w:t>
      </w:r>
    </w:p>
    <w:p>
      <w:pPr>
        <w:pStyle w:val="Heading2"/>
        <w:jc w:val="left"/>
      </w:pPr>
      <w:r>
        <w:rPr>
          <w:color w:val="1F4E79"/>
          <w:sz w:val="30"/>
        </w:rPr>
        <w:t>3.1 Domaine 1 — Pertinence &amp; Gouvernance</w:t>
      </w:r>
    </w:p>
    <w:p>
      <w:pPr>
        <w:pStyle w:val="ListBullet"/>
        <w:spacing w:after="40"/>
      </w:pPr>
      <w:r>
        <w:rPr>
          <w:b/>
          <w:i w:val="0"/>
        </w:rPr>
        <w:t xml:space="preserve">Application stricte de BP02 sur le cœur métier. </w:t>
      </w:r>
      <w:r>
        <w:rPr>
          <w:b w:val="0"/>
          <w:i w:val="0"/>
        </w:rPr>
        <w:t xml:space="preserve">L'ensemble de la normalisation agricole (taxonomie, phytosanitaire, agroedi, variétés, parcelles, etc.) est implémenté par des transformations déterministes Ruby/SQL/Python. C'est l'exemple-type d'une alternative non-IA préférée à une IA tentante (entity matching, classification automatique). Référence : </w:t>
      </w:r>
      <w:r>
        <w:rPr>
          <w:b w:val="0"/>
          <w:i/>
        </w:rPr>
        <w:t>BP02 — Choisir la solution en considérant les alternatives à l'IA.</w:t>
      </w:r>
    </w:p>
    <w:p>
      <w:pPr>
        <w:pStyle w:val="ListBullet"/>
        <w:spacing w:after="40"/>
      </w:pPr>
      <w:r>
        <w:rPr>
          <w:b/>
          <w:i w:val="0"/>
        </w:rPr>
        <w:t xml:space="preserve">Cycle de vie versionné </w:t>
      </w:r>
      <w:r>
        <w:rPr>
          <w:b w:val="0"/>
          <w:i w:val="0"/>
        </w:rPr>
        <w:t xml:space="preserve">(VERSION, ./lexicon version bump, dumps versionnés dans out/&lt;version&gt;/) : structure permettant de tracer chaque livraison côté données. Référence partielle : </w:t>
      </w:r>
      <w:r>
        <w:rPr>
          <w:b w:val="0"/>
          <w:i/>
        </w:rPr>
        <w:t>BP11 — Prévoir la fin de vie dans la gestion du projet IA.</w:t>
      </w:r>
    </w:p>
    <w:p>
      <w:pPr>
        <w:pStyle w:val="Heading2"/>
        <w:jc w:val="left"/>
      </w:pPr>
      <w:r>
        <w:rPr>
          <w:color w:val="1F4E79"/>
          <w:sz w:val="30"/>
        </w:rPr>
        <w:t>3.2 Domaine 2 — Modèle &amp; Algorithme</w:t>
      </w:r>
    </w:p>
    <w:p>
      <w:pPr>
        <w:pStyle w:val="ListBullet"/>
        <w:spacing w:after="40"/>
      </w:pPr>
      <w:r>
        <w:rPr>
          <w:b/>
          <w:i w:val="0"/>
        </w:rPr>
        <w:t xml:space="preserve">Ollama utilise par défaut des modèles quantifiés </w:t>
      </w:r>
      <w:r>
        <w:rPr>
          <w:b w:val="0"/>
          <w:i w:val="0"/>
        </w:rPr>
        <w:t xml:space="preserve">(Q4_K_M, GGUF), ce qui constitue une application de facto de la compression. Référence : </w:t>
      </w:r>
      <w:r>
        <w:rPr>
          <w:b w:val="0"/>
          <w:i/>
        </w:rPr>
        <w:t>BP03 — Méthodes de compression des algorithmes.</w:t>
      </w:r>
    </w:p>
    <w:p>
      <w:pPr>
        <w:pStyle w:val="ListBullet"/>
        <w:spacing w:after="40"/>
      </w:pPr>
      <w:r>
        <w:rPr>
          <w:b/>
          <w:i w:val="0"/>
        </w:rPr>
        <w:t xml:space="preserve">Recours à des modèles open-source pré-entraînés </w:t>
      </w:r>
      <w:r>
        <w:rPr>
          <w:b w:val="0"/>
          <w:i w:val="0"/>
        </w:rPr>
        <w:t xml:space="preserve">via Ollama (transfer learning par construction, pas d'entraînement local). Référence : </w:t>
      </w:r>
      <w:r>
        <w:rPr>
          <w:b w:val="0"/>
          <w:i/>
        </w:rPr>
        <w:t>BP29 — Réutiliser des algorithmes entraînés (OpenSource).</w:t>
      </w:r>
    </w:p>
    <w:p>
      <w:pPr>
        <w:pStyle w:val="ListBullet"/>
        <w:spacing w:after="40"/>
      </w:pPr>
      <w:r>
        <w:rPr>
          <w:b/>
          <w:i w:val="0"/>
        </w:rPr>
        <w:t xml:space="preserve">Aucun entraînement effectué localement </w:t>
      </w:r>
      <w:r>
        <w:rPr>
          <w:b w:val="0"/>
          <w:i w:val="0"/>
        </w:rPr>
        <w:t xml:space="preserve">→ pas de bilan carbone d'entraînement à comptabiliser côté projet (déplacé en amont vers les éditeurs des modèles). Référence partielle : </w:t>
      </w:r>
      <w:r>
        <w:rPr>
          <w:b w:val="0"/>
          <w:i/>
        </w:rPr>
        <w:t>BP30 — Privilégier des modèles plus frugaux.</w:t>
      </w:r>
    </w:p>
    <w:p>
      <w:pPr>
        <w:pStyle w:val="Heading2"/>
        <w:jc w:val="left"/>
      </w:pPr>
      <w:r>
        <w:rPr>
          <w:color w:val="1F4E79"/>
          <w:sz w:val="30"/>
        </w:rPr>
        <w:t>3.3 Domaine 3 — Données</w:t>
      </w:r>
    </w:p>
    <w:p>
      <w:pPr>
        <w:pStyle w:val="ListBullet"/>
        <w:spacing w:after="40"/>
      </w:pPr>
      <w:r>
        <w:rPr>
          <w:b/>
          <w:i w:val="0"/>
        </w:rPr>
        <w:t xml:space="preserve">Système de "flavors" </w:t>
      </w:r>
      <w:r>
        <w:rPr>
          <w:b w:val="0"/>
          <w:i w:val="0"/>
        </w:rPr>
        <w:t xml:space="preserve">(resources/flavors/*.yml) : filtrage géographique/fonctionnel paramétrable réduisant massivement les volumes livrés. Exemple : ekyagri.yml restreint le cadastre à 2 km autour d'un point géographique, divisant les volumes par plusieurs ordres de grandeur. Références : </w:t>
      </w:r>
      <w:r>
        <w:rPr>
          <w:b w:val="0"/>
          <w:i/>
        </w:rPr>
        <w:t>BP06 — Maîtriser le volume + BP15 — Compression de données.</w:t>
      </w:r>
    </w:p>
    <w:p>
      <w:pPr>
        <w:pStyle w:val="ListBullet"/>
        <w:spacing w:after="40"/>
      </w:pPr>
      <w:r>
        <w:rPr>
          <w:b/>
          <w:i w:val="0"/>
        </w:rPr>
        <w:t xml:space="preserve">Compression systématique des livrables </w:t>
      </w:r>
      <w:r>
        <w:rPr>
          <w:b w:val="0"/>
          <w:i w:val="0"/>
        </w:rPr>
        <w:t xml:space="preserve">(pigz, 7z dans le Dockerfile, archives versionnées). Référence : </w:t>
      </w:r>
      <w:r>
        <w:rPr>
          <w:b w:val="0"/>
          <w:i/>
        </w:rPr>
        <w:t>BP15.</w:t>
      </w:r>
    </w:p>
    <w:p>
      <w:pPr>
        <w:pStyle w:val="ListBullet"/>
        <w:spacing w:after="40"/>
      </w:pPr>
      <w:r>
        <w:rPr>
          <w:b/>
          <w:i w:val="0"/>
        </w:rPr>
        <w:t xml:space="preserve">Utilisation de jeux open data </w:t>
      </w:r>
      <w:r>
        <w:rPr>
          <w:b w:val="0"/>
          <w:i w:val="0"/>
        </w:rPr>
        <w:t xml:space="preserve">(IGN, RPG, OTEX-NAF, INSEE, BNVD, MSA, PAC, etc.) → </w:t>
      </w:r>
      <w:r>
        <w:rPr>
          <w:b w:val="0"/>
          <w:i/>
        </w:rPr>
        <w:t>BP19 et BP08 respectés.</w:t>
      </w:r>
    </w:p>
    <w:p>
      <w:pPr>
        <w:pStyle w:val="ListBullet"/>
        <w:spacing w:after="40"/>
      </w:pPr>
      <w:r>
        <w:rPr>
          <w:b/>
          <w:i w:val="0"/>
        </w:rPr>
        <w:t xml:space="preserve">Qualité priorisée sur quantité : </w:t>
      </w:r>
      <w:r>
        <w:rPr>
          <w:b w:val="0"/>
          <w:i w:val="0"/>
        </w:rPr>
        <w:t xml:space="preserve">normalisation, dédoublonnage, transcoding (parse_usage_phrase, clean_crop dans lib/datasources/phytosanitary/__init__.py), schéma cible explicite et validé (./lexicon validate). Référence : </w:t>
      </w:r>
      <w:r>
        <w:rPr>
          <w:b w:val="0"/>
          <w:i/>
        </w:rPr>
        <w:t>BP07 — Travailler sur la qualité des données.</w:t>
      </w:r>
    </w:p>
    <w:p>
      <w:pPr>
        <w:pStyle w:val="ListBullet"/>
        <w:spacing w:after="40"/>
      </w:pPr>
      <w:r>
        <w:rPr>
          <w:b/>
          <w:i w:val="0"/>
        </w:rPr>
        <w:t xml:space="preserve">Pipeline trois phases (collect → load → normalize) reproductible, </w:t>
      </w:r>
      <w:r>
        <w:rPr>
          <w:b w:val="0"/>
          <w:i w:val="0"/>
        </w:rPr>
        <w:t xml:space="preserve">avec tables raw temporaires supprimées après normalisation. Référence partielle : </w:t>
      </w:r>
      <w:r>
        <w:rPr>
          <w:b w:val="0"/>
          <w:i/>
        </w:rPr>
        <w:t>BP10.</w:t>
      </w:r>
    </w:p>
    <w:p>
      <w:pPr>
        <w:pStyle w:val="Heading2"/>
        <w:jc w:val="left"/>
      </w:pPr>
      <w:r>
        <w:rPr>
          <w:color w:val="1F4E79"/>
          <w:sz w:val="30"/>
        </w:rPr>
        <w:t>3.4 Domaine 4 — Infrastructure &amp; Ressources</w:t>
      </w:r>
    </w:p>
    <w:p>
      <w:pPr>
        <w:pStyle w:val="ListBullet"/>
        <w:spacing w:after="40"/>
      </w:pPr>
      <w:r>
        <w:rPr>
          <w:b/>
          <w:i w:val="0"/>
        </w:rPr>
        <w:t xml:space="preserve">Architecture conteneurisée Docker </w:t>
      </w:r>
      <w:r>
        <w:rPr>
          <w:b w:val="0"/>
          <w:i w:val="0"/>
        </w:rPr>
        <w:t xml:space="preserve">unifiée, reproductible (docker-compose.yml, Dockerfile avec build_hash.sha1 pour cohérence host/container). Référence : </w:t>
      </w:r>
      <w:r>
        <w:rPr>
          <w:b w:val="0"/>
          <w:i/>
        </w:rPr>
        <w:t>BP05 — Mesures d'éco-conception en développement.</w:t>
      </w:r>
    </w:p>
    <w:p>
      <w:pPr>
        <w:pStyle w:val="ListBullet"/>
        <w:spacing w:after="40"/>
      </w:pPr>
      <w:r>
        <w:rPr>
          <w:b/>
          <w:i w:val="0"/>
        </w:rPr>
        <w:t xml:space="preserve">PostgreSQL réglé finement </w:t>
      </w:r>
      <w:r>
        <w:rPr>
          <w:b w:val="0"/>
          <w:i w:val="0"/>
        </w:rPr>
        <w:t xml:space="preserve">(shared_buffers=512MB, work_mem=128MB, max_wal_size=8GB) — dimensionnement explicite des ressources DB. Référence partielle : </w:t>
      </w:r>
      <w:r>
        <w:rPr>
          <w:b w:val="0"/>
          <w:i/>
        </w:rPr>
        <w:t>BP24.</w:t>
      </w:r>
    </w:p>
    <w:p>
      <w:pPr>
        <w:pStyle w:val="ListBullet"/>
        <w:spacing w:after="40"/>
      </w:pPr>
      <w:r>
        <w:rPr>
          <w:b/>
          <w:i w:val="0"/>
        </w:rPr>
        <w:t xml:space="preserve">Hébergement sur infrastructure mutualisée </w:t>
      </w:r>
      <w:r>
        <w:rPr>
          <w:b w:val="0"/>
          <w:i w:val="0"/>
        </w:rPr>
        <w:t xml:space="preserve">(réseau proxy Traefik partagé entre lexicon_api, n8n, openwebui) — réutilisation de l'équipement existant. Référence : </w:t>
      </w:r>
      <w:r>
        <w:rPr>
          <w:b w:val="0"/>
          <w:i/>
        </w:rPr>
        <w:t>BP20 — Optimiser l'usage de l'équipement existant.</w:t>
      </w:r>
    </w:p>
    <w:p>
      <w:pPr>
        <w:pStyle w:val="ListBullet"/>
        <w:spacing w:after="40"/>
      </w:pPr>
      <w:r>
        <w:rPr>
          <w:b/>
          <w:i w:val="0"/>
        </w:rPr>
        <w:t xml:space="preserve">Parallélisation contrôlée </w:t>
      </w:r>
      <w:r>
        <w:rPr>
          <w:b w:val="0"/>
          <w:i w:val="0"/>
        </w:rPr>
        <w:t xml:space="preserve">(./lexicon run -P --jobs N) permettant d'adapter la charge à la machine hôte. Référence partielle : </w:t>
      </w:r>
      <w:r>
        <w:rPr>
          <w:b w:val="0"/>
          <w:i/>
        </w:rPr>
        <w:t>BP24.</w:t>
      </w:r>
    </w:p>
    <w:p>
      <w:r>
        <w:br w:type="page"/>
      </w:r>
    </w:p>
    <w:p>
      <w:pPr>
        <w:pStyle w:val="Heading1"/>
        <w:jc w:val="left"/>
      </w:pPr>
      <w:r>
        <w:rPr>
          <w:color w:val="1F4E79"/>
          <w:sz w:val="40"/>
        </w:rPr>
        <w:t>4. Améliorations prioritaires</w:t>
      </w:r>
    </w:p>
    <w:p>
      <w:pPr>
        <w:pStyle w:val="Heading2"/>
        <w:jc w:val="left"/>
      </w:pPr>
      <w:r>
        <w:rPr>
          <w:color w:val="B00000"/>
          <w:sz w:val="30"/>
        </w:rPr>
        <w:t>4.1 Critiques (impact fort / effort faible) — À traiter en premier</w:t>
      </w:r>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B00000"/>
              <w:right w:val="single" w:sz="4" w:color="B00000"/>
              <w:bottom w:val="single" w:sz="4" w:color="B00000"/>
              <w:left w:val="single" w:sz="32" w:color="B00000"/>
            </w:tcBorders>
          </w:tcPr>
          <w:p>
            <w:pPr>
              <w:spacing w:after="80"/>
            </w:pPr>
            <w:r/>
            <w:r>
              <w:rPr>
                <w:b/>
                <w:color w:val="B00000"/>
                <w:sz w:val="24"/>
              </w:rPr>
              <w:t xml:space="preserve">#C1  </w:t>
            </w:r>
            <w:r>
              <w:rPr>
                <w:b/>
                <w:sz w:val="24"/>
              </w:rPr>
              <w:t>Aucune justification documentée du déploiement d'Ollama + OpenWebUI</w:t>
            </w:r>
          </w:p>
          <w:p>
            <w:pPr>
              <w:spacing w:after="40"/>
            </w:pPr>
            <w:r>
              <w:rPr>
                <w:b/>
                <w:sz w:val="20"/>
              </w:rPr>
              <w:t xml:space="preserve">Problème identifié : </w:t>
            </w:r>
            <w:r>
              <w:rPr>
                <w:sz w:val="20"/>
              </w:rPr>
              <w:t>La stack IA (ollama, openwebui dans docker-compose.yml) est déployée sans expression de besoin centrée utilisateur, sans alternative non-IA évaluée, sans cas d'usage borné. OLLAMA_HOST=0.0.0.0:11434 est exposé sur deux réseaux Docker.</w:t>
            </w:r>
          </w:p>
          <w:p>
            <w:pPr>
              <w:spacing w:after="40"/>
            </w:pPr>
            <w:r>
              <w:rPr>
                <w:b/>
                <w:sz w:val="20"/>
              </w:rPr>
              <w:t xml:space="preserve">Référence AFNOR : </w:t>
            </w:r>
            <w:r>
              <w:rPr>
                <w:sz w:val="20"/>
              </w:rPr>
              <w:t>BP01 — Méthodes d'analyse de besoin pour la frugalité + BP02 — Considérer les alternatives à l'IA.</w:t>
            </w:r>
          </w:p>
          <w:p>
            <w:pPr>
              <w:spacing w:after="40"/>
            </w:pPr>
            <w:r>
              <w:rPr>
                <w:b/>
                <w:sz w:val="20"/>
              </w:rPr>
              <w:t xml:space="preserve">Action concrète recommandée : </w:t>
            </w:r>
            <w:r>
              <w:rPr>
                <w:sz w:val="20"/>
              </w:rPr>
              <w:t>Rédiger une note de cadrage de 1 page (doc/AI_USAGE.md) listant : (a) cas d'usage explicites couverts par OpenWebUI/N8N/Ollama, (b) alternatives non-IA évaluées et écartées, (c) utilisateurs autorisés, (d) volume d'usage attendu. Si aucun cas d'usage opérationnel : retirer ces services du compose de production.</w:t>
            </w:r>
          </w:p>
          <w:p>
            <w:pPr>
              <w:spacing w:after="40"/>
            </w:pPr>
            <w:r>
              <w:rPr>
                <w:b/>
                <w:sz w:val="20"/>
              </w:rPr>
              <w:t xml:space="preserve">Impact estimé sur la frugalité : </w:t>
            </w:r>
            <w:r>
              <w:rPr>
                <w:sz w:val="20"/>
              </w:rPr>
              <w:t>Élevé (potentiellement suppression complète de la consommation IA si non justifiée).</w:t>
            </w:r>
          </w:p>
        </w:tc>
      </w:tr>
    </w:tbl>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B00000"/>
              <w:right w:val="single" w:sz="4" w:color="B00000"/>
              <w:bottom w:val="single" w:sz="4" w:color="B00000"/>
              <w:left w:val="single" w:sz="32" w:color="B00000"/>
            </w:tcBorders>
          </w:tcPr>
          <w:p>
            <w:pPr>
              <w:spacing w:after="80"/>
            </w:pPr>
            <w:r/>
            <w:r>
              <w:rPr>
                <w:b/>
                <w:color w:val="B00000"/>
                <w:sz w:val="24"/>
              </w:rPr>
              <w:t xml:space="preserve">#C2  </w:t>
            </w:r>
            <w:r>
              <w:rPr>
                <w:b/>
                <w:sz w:val="24"/>
              </w:rPr>
              <w:t>Aucune mesure de consommation énergétique ou carbone</w:t>
            </w:r>
          </w:p>
          <w:p>
            <w:pPr>
              <w:spacing w:after="40"/>
            </w:pPr>
            <w:r>
              <w:rPr>
                <w:b/>
                <w:sz w:val="20"/>
              </w:rPr>
              <w:t xml:space="preserve">Problème identifié : </w:t>
            </w:r>
            <w:r>
              <w:rPr>
                <w:sz w:val="20"/>
              </w:rPr>
              <w:t>Aucun outil de mesure (CodeCarbon, EcoLogits, Scaphandre, Green Algorithms) n'est intégré. Aucun indicateur AFNOR section 2.1.6 (CO₂eq, ADP, kWh, eau) n'est suivi sur Ollama ni sur la stack ETL.</w:t>
            </w:r>
          </w:p>
          <w:p>
            <w:pPr>
              <w:spacing w:after="40"/>
            </w:pPr>
            <w:r>
              <w:rPr>
                <w:b/>
                <w:sz w:val="20"/>
              </w:rPr>
              <w:t xml:space="preserve">Référence AFNOR : </w:t>
            </w:r>
            <w:r>
              <w:rPr>
                <w:sz w:val="20"/>
              </w:rPr>
              <w:t>BP23 — Estimation de la consommation a priori + BP25 — Faire évoluer les stratégies de mesure.</w:t>
            </w:r>
          </w:p>
          <w:p>
            <w:pPr>
              <w:spacing w:after="40"/>
            </w:pPr>
            <w:r>
              <w:rPr>
                <w:b/>
                <w:sz w:val="20"/>
              </w:rPr>
              <w:t xml:space="preserve">Action concrète recommandée : </w:t>
            </w:r>
            <w:r>
              <w:rPr>
                <w:sz w:val="20"/>
              </w:rPr>
              <w:t>Intégrer EcoLogits (wrapper transparent sur Ollama/OpenAI/Anthropic) au niveau d'OpenWebUI ou via un middleware Traefik comptant les tokens × énergie par modèle. Logger en JSON dans Grafana/Loki.</w:t>
            </w:r>
          </w:p>
          <w:p>
            <w:pPr>
              <w:spacing w:after="40"/>
            </w:pPr>
            <w:r>
              <w:rPr>
                <w:b/>
                <w:sz w:val="20"/>
              </w:rPr>
              <w:t xml:space="preserve">Impact estimé sur la frugalité : </w:t>
            </w:r>
            <w:r>
              <w:rPr>
                <w:sz w:val="20"/>
              </w:rPr>
              <w:t>Élevé (préalable obligatoire à toute démarche de réduction selon BP23).</w:t>
            </w:r>
          </w:p>
        </w:tc>
      </w:tr>
    </w:tbl>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B00000"/>
              <w:right w:val="single" w:sz="4" w:color="B00000"/>
              <w:bottom w:val="single" w:sz="4" w:color="B00000"/>
              <w:left w:val="single" w:sz="32" w:color="B00000"/>
            </w:tcBorders>
          </w:tcPr>
          <w:p>
            <w:pPr>
              <w:spacing w:after="80"/>
            </w:pPr>
            <w:r/>
            <w:r>
              <w:rPr>
                <w:b/>
                <w:color w:val="B00000"/>
                <w:sz w:val="24"/>
              </w:rPr>
              <w:t xml:space="preserve">#C3  </w:t>
            </w:r>
            <w:r>
              <w:rPr>
                <w:b/>
                <w:sz w:val="24"/>
              </w:rPr>
              <w:t>Aucun catalogue ni gouvernance des modèles tirés dans Ollama</w:t>
            </w:r>
          </w:p>
          <w:p>
            <w:pPr>
              <w:spacing w:after="40"/>
            </w:pPr>
            <w:r>
              <w:rPr>
                <w:b/>
                <w:sz w:val="20"/>
              </w:rPr>
              <w:t xml:space="preserve">Problème identifié : </w:t>
            </w:r>
            <w:r>
              <w:rPr>
                <w:sz w:val="20"/>
              </w:rPr>
              <w:t>Ollama télécharge à la demande n'importe quel modèle (ollama pull &lt;n'importe quoi&gt;). Aucune politique limitant la taille, le nombre, ou les versions des modèles téléchargés. Le volume ollama_data peut croître sans borne.</w:t>
            </w:r>
          </w:p>
          <w:p>
            <w:pPr>
              <w:spacing w:after="40"/>
            </w:pPr>
            <w:r>
              <w:rPr>
                <w:b/>
                <w:sz w:val="20"/>
              </w:rPr>
              <w:t xml:space="preserve">Référence AFNOR : </w:t>
            </w:r>
            <w:r>
              <w:rPr>
                <w:sz w:val="20"/>
              </w:rPr>
              <w:t>BP27 — Rationaliser les modèles + BP30 — Privilégier les modèles plus frugaux.</w:t>
            </w:r>
          </w:p>
          <w:p>
            <w:pPr>
              <w:spacing w:after="40"/>
            </w:pPr>
            <w:r>
              <w:rPr>
                <w:b/>
                <w:sz w:val="20"/>
              </w:rPr>
              <w:t xml:space="preserve">Action concrète recommandée : </w:t>
            </w:r>
            <w:r>
              <w:rPr>
                <w:sz w:val="20"/>
              </w:rPr>
              <w:t>Définir une liste blanche de modèles (config/allowed_models.yml) limitée à 2-3 modèles quantifiés Q4 ≤ 8B paramètres (ex : llama3.1:8b-instruct-q4_K_M, mistral:7b-instruct-q4_0). Supprimer périodiquement les modèles inutilisés (ollama rm).</w:t>
            </w:r>
          </w:p>
          <w:p>
            <w:pPr>
              <w:spacing w:after="40"/>
            </w:pPr>
            <w:r>
              <w:rPr>
                <w:b/>
                <w:sz w:val="20"/>
              </w:rPr>
              <w:t xml:space="preserve">Impact estimé sur la frugalité : </w:t>
            </w:r>
            <w:r>
              <w:rPr>
                <w:sz w:val="20"/>
              </w:rPr>
              <w:t>Élevé.</w:t>
            </w:r>
          </w:p>
        </w:tc>
      </w:tr>
    </w:tbl>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B00000"/>
              <w:right w:val="single" w:sz="4" w:color="B00000"/>
              <w:bottom w:val="single" w:sz="4" w:color="B00000"/>
              <w:left w:val="single" w:sz="32" w:color="B00000"/>
            </w:tcBorders>
          </w:tcPr>
          <w:p>
            <w:pPr>
              <w:spacing w:after="80"/>
            </w:pPr>
            <w:r/>
            <w:r>
              <w:rPr>
                <w:b/>
                <w:color w:val="B00000"/>
                <w:sz w:val="24"/>
              </w:rPr>
              <w:t xml:space="preserve">#C4  </w:t>
            </w:r>
            <w:r>
              <w:rPr>
                <w:b/>
                <w:sz w:val="24"/>
              </w:rPr>
              <w:t>Services Ollama / OpenWebUI en restart:always sans arrêt programmé</w:t>
            </w:r>
          </w:p>
          <w:p>
            <w:pPr>
              <w:spacing w:after="40"/>
            </w:pPr>
            <w:r>
              <w:rPr>
                <w:b/>
                <w:sz w:val="20"/>
              </w:rPr>
              <w:t xml:space="preserve">Problème identifié : </w:t>
            </w:r>
            <w:r>
              <w:rPr>
                <w:sz w:val="20"/>
              </w:rPr>
              <w:t>ollama et openwebui tournent 24/7 même sans usage. Aucune politique d'extinction en heures creuses ou en cas d'inactivité.</w:t>
            </w:r>
          </w:p>
          <w:p>
            <w:pPr>
              <w:spacing w:after="40"/>
            </w:pPr>
            <w:r>
              <w:rPr>
                <w:b/>
                <w:sz w:val="20"/>
              </w:rPr>
              <w:t xml:space="preserve">Référence AFNOR : </w:t>
            </w:r>
            <w:r>
              <w:rPr>
                <w:sz w:val="20"/>
              </w:rPr>
              <w:t>BP24 — Frugalité des infrastructures tout au long de l'exploitation.</w:t>
            </w:r>
          </w:p>
          <w:p>
            <w:pPr>
              <w:spacing w:after="40"/>
            </w:pPr>
            <w:r>
              <w:rPr>
                <w:b/>
                <w:sz w:val="20"/>
              </w:rPr>
              <w:t xml:space="preserve">Action concrète recommandée : </w:t>
            </w:r>
            <w:r>
              <w:rPr>
                <w:sz w:val="20"/>
              </w:rPr>
              <w:t>Soit (a) profiles: [ai] dans le compose pour rendre la stack IA optionnelle (docker compose --profile ai up), soit (b) script cron stoppant les conteneurs ollama/openwebui après N minutes d'inactivité réseau.</w:t>
            </w:r>
          </w:p>
          <w:p>
            <w:pPr>
              <w:spacing w:after="40"/>
            </w:pPr>
            <w:r>
              <w:rPr>
                <w:b/>
                <w:sz w:val="20"/>
              </w:rPr>
              <w:t xml:space="preserve">Impact estimé sur la frugalité : </w:t>
            </w:r>
            <w:r>
              <w:rPr>
                <w:sz w:val="20"/>
              </w:rPr>
              <w:t>Modéré (mais effort trivial).</w:t>
            </w:r>
          </w:p>
        </w:tc>
      </w:tr>
    </w:tbl>
    <w:p/>
    <w:p>
      <w:pPr>
        <w:pStyle w:val="Heading2"/>
        <w:jc w:val="left"/>
      </w:pPr>
      <w:r>
        <w:rPr>
          <w:color w:val="C05500"/>
          <w:sz w:val="30"/>
        </w:rPr>
        <w:t>4.2 Importantes (impact fort / effort modéré)</w:t>
      </w:r>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C05500"/>
              <w:right w:val="single" w:sz="4" w:color="C05500"/>
              <w:bottom w:val="single" w:sz="4" w:color="C05500"/>
              <w:left w:val="single" w:sz="32" w:color="C05500"/>
            </w:tcBorders>
          </w:tcPr>
          <w:p>
            <w:pPr>
              <w:spacing w:after="80"/>
            </w:pPr>
            <w:r/>
            <w:r>
              <w:rPr>
                <w:b/>
                <w:color w:val="C05500"/>
                <w:sz w:val="24"/>
              </w:rPr>
              <w:t xml:space="preserve">#I1  </w:t>
            </w:r>
            <w:r>
              <w:rPr>
                <w:b/>
                <w:sz w:val="24"/>
              </w:rPr>
              <w:t>Aucune politique de purge des données téléchargées</w:t>
            </w:r>
          </w:p>
          <w:p>
            <w:pPr>
              <w:spacing w:after="40"/>
            </w:pPr>
            <w:r>
              <w:rPr>
                <w:b/>
                <w:sz w:val="20"/>
              </w:rPr>
              <w:t xml:space="preserve">Problème identifié : </w:t>
            </w:r>
            <w:r>
              <w:rPr>
                <w:sz w:val="20"/>
              </w:rPr>
              <w:t>raw/ contient 212 Go (dont 73 Go de météo, 62 Go d'hydrographie, 40 Go de parcellaires). Aucune règle de suppression après build n'est documentée ; .gitignore masque le problème sans le résoudre.</w:t>
            </w:r>
          </w:p>
          <w:p>
            <w:pPr>
              <w:spacing w:after="40"/>
            </w:pPr>
            <w:r>
              <w:rPr>
                <w:b/>
                <w:sz w:val="20"/>
              </w:rPr>
              <w:t xml:space="preserve">Référence AFNOR : </w:t>
            </w:r>
            <w:r>
              <w:rPr>
                <w:sz w:val="20"/>
              </w:rPr>
              <w:t>BP10 — Règles de stockage + BP06 — Maîtrise du volume.</w:t>
            </w:r>
          </w:p>
          <w:p>
            <w:pPr>
              <w:spacing w:after="40"/>
            </w:pPr>
            <w:r>
              <w:rPr>
                <w:b/>
                <w:sz w:val="20"/>
              </w:rPr>
              <w:t xml:space="preserve">Action concrète recommandée : </w:t>
            </w:r>
            <w:r>
              <w:rPr>
                <w:sz w:val="20"/>
              </w:rPr>
              <w:t>Ajouter une commande ./lexicon clean --raw [datasource] purgeant raw/&lt;datasource&gt;/ après production d'un dump validé. Documenter une politique de rétention dans doc/DATA_LIFECYCLE.md (ex : raw/ purgé sous 30 j, out/&lt;old&gt;/ archivé sur S3 froid au-delà d'une version-1).</w:t>
            </w:r>
          </w:p>
          <w:p>
            <w:pPr>
              <w:spacing w:after="40"/>
            </w:pPr>
            <w:r>
              <w:rPr>
                <w:b/>
                <w:sz w:val="20"/>
              </w:rPr>
              <w:t xml:space="preserve">Impact estimé sur la frugalité : </w:t>
            </w:r>
            <w:r>
              <w:rPr>
                <w:sz w:val="20"/>
              </w:rPr>
              <w:t>Élevé (gain immédiat de plusieurs centaines de Go de stockage SSD chaud).</w:t>
            </w:r>
          </w:p>
        </w:tc>
      </w:tr>
    </w:tbl>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C05500"/>
              <w:right w:val="single" w:sz="4" w:color="C05500"/>
              <w:bottom w:val="single" w:sz="4" w:color="C05500"/>
              <w:left w:val="single" w:sz="32" w:color="C05500"/>
            </w:tcBorders>
          </w:tcPr>
          <w:p>
            <w:pPr>
              <w:spacing w:after="80"/>
            </w:pPr>
            <w:r/>
            <w:r>
              <w:rPr>
                <w:b/>
                <w:color w:val="C05500"/>
                <w:sz w:val="24"/>
              </w:rPr>
              <w:t xml:space="preserve">#I2  </w:t>
            </w:r>
            <w:r>
              <w:rPr>
                <w:b/>
                <w:sz w:val="24"/>
              </w:rPr>
              <w:t>Stockage différencié non mis en œuvre</w:t>
            </w:r>
          </w:p>
          <w:p>
            <w:pPr>
              <w:spacing w:after="40"/>
            </w:pPr>
            <w:r>
              <w:rPr>
                <w:b/>
                <w:sz w:val="20"/>
              </w:rPr>
              <w:t xml:space="preserve">Problème identifié : </w:t>
            </w:r>
            <w:r>
              <w:rPr>
                <w:sz w:val="20"/>
              </w:rPr>
              <w:t>Versions anciennes (out/6.0.2-cultia/, out/6.0.2-full/ = 52 Go) cohabitent en stockage SSD chaud avec les dumps actuels. Aucun tiering vers stockage froid (MinIO Glacier, S3 IA).</w:t>
            </w:r>
          </w:p>
          <w:p>
            <w:pPr>
              <w:spacing w:after="40"/>
            </w:pPr>
            <w:r>
              <w:rPr>
                <w:b/>
                <w:sz w:val="20"/>
              </w:rPr>
              <w:t xml:space="preserve">Référence AFNOR : </w:t>
            </w:r>
            <w:r>
              <w:rPr>
                <w:sz w:val="20"/>
              </w:rPr>
              <w:t>BP10 — Règles de stockage.</w:t>
            </w:r>
          </w:p>
          <w:p>
            <w:pPr>
              <w:spacing w:after="40"/>
            </w:pPr>
            <w:r>
              <w:rPr>
                <w:b/>
                <w:sz w:val="20"/>
              </w:rPr>
              <w:t xml:space="preserve">Action concrète recommandée : </w:t>
            </w:r>
            <w:r>
              <w:rPr>
                <w:sz w:val="20"/>
              </w:rPr>
              <w:t>Configurer une politique de cycle de vie MinIO (mc ilm) déplaçant les dumps &gt; N-1 vers une classe STANDARD_IA ou GLACIER. Conserver localement uniquement la dernière version stable + la dev en cours.</w:t>
            </w:r>
          </w:p>
          <w:p>
            <w:pPr>
              <w:spacing w:after="40"/>
            </w:pPr>
            <w:r>
              <w:rPr>
                <w:b/>
                <w:sz w:val="20"/>
              </w:rPr>
              <w:t xml:space="preserve">Impact estimé sur la frugalité : </w:t>
            </w:r>
            <w:r>
              <w:rPr>
                <w:sz w:val="20"/>
              </w:rPr>
              <w:t>Modéré.</w:t>
            </w:r>
          </w:p>
        </w:tc>
      </w:tr>
    </w:tbl>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C05500"/>
              <w:right w:val="single" w:sz="4" w:color="C05500"/>
              <w:bottom w:val="single" w:sz="4" w:color="C05500"/>
              <w:left w:val="single" w:sz="32" w:color="C05500"/>
            </w:tcBorders>
          </w:tcPr>
          <w:p>
            <w:pPr>
              <w:spacing w:after="80"/>
            </w:pPr>
            <w:r/>
            <w:r>
              <w:rPr>
                <w:b/>
                <w:color w:val="C05500"/>
                <w:sz w:val="24"/>
              </w:rPr>
              <w:t xml:space="preserve">#I3  </w:t>
            </w:r>
            <w:r>
              <w:rPr>
                <w:b/>
                <w:sz w:val="24"/>
              </w:rPr>
              <w:t>Aucun critère explicite déclenchant un changement de modèle / ré-entraînement</w:t>
            </w:r>
          </w:p>
          <w:p>
            <w:pPr>
              <w:spacing w:after="40"/>
            </w:pPr>
            <w:r>
              <w:rPr>
                <w:b/>
                <w:sz w:val="20"/>
              </w:rPr>
              <w:t xml:space="preserve">Problème identifié : </w:t>
            </w:r>
            <w:r>
              <w:rPr>
                <w:sz w:val="20"/>
              </w:rPr>
              <w:t>Pour la stack IA (Ollama), aucun document ne précise quand un modèle doit être mis à jour, déprécié, ou retiré.</w:t>
            </w:r>
          </w:p>
          <w:p>
            <w:pPr>
              <w:spacing w:after="40"/>
            </w:pPr>
            <w:r>
              <w:rPr>
                <w:b/>
                <w:sz w:val="20"/>
              </w:rPr>
              <w:t xml:space="preserve">Référence AFNOR : </w:t>
            </w:r>
            <w:r>
              <w:rPr>
                <w:sz w:val="20"/>
              </w:rPr>
              <w:t>BP04 — Définir des critères justifiant le ré-entraînement.</w:t>
            </w:r>
          </w:p>
          <w:p>
            <w:pPr>
              <w:spacing w:after="40"/>
            </w:pPr>
            <w:r>
              <w:rPr>
                <w:b/>
                <w:sz w:val="20"/>
              </w:rPr>
              <w:t xml:space="preserve">Action concrète recommandée : </w:t>
            </w:r>
            <w:r>
              <w:rPr>
                <w:sz w:val="20"/>
              </w:rPr>
              <w:t>Documenter dans doc/AI_USAGE.md (créé en action C1) un critère type : « Les modèles Ollama sont audités tous les 6 mois ; un modèle est remplacé si un modèle plus frugal d'au moins 30 % à qualité équivalente devient disponible. »</w:t>
            </w:r>
          </w:p>
          <w:p>
            <w:pPr>
              <w:spacing w:after="40"/>
            </w:pPr>
            <w:r>
              <w:rPr>
                <w:b/>
                <w:sz w:val="20"/>
              </w:rPr>
              <w:t xml:space="preserve">Impact estimé sur la frugalité : </w:t>
            </w:r>
            <w:r>
              <w:rPr>
                <w:sz w:val="20"/>
              </w:rPr>
              <w:t>Modéré.</w:t>
            </w:r>
          </w:p>
        </w:tc>
      </w:tr>
    </w:tbl>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C05500"/>
              <w:right w:val="single" w:sz="4" w:color="C05500"/>
              <w:bottom w:val="single" w:sz="4" w:color="C05500"/>
              <w:left w:val="single" w:sz="32" w:color="C05500"/>
            </w:tcBorders>
          </w:tcPr>
          <w:p>
            <w:pPr>
              <w:spacing w:after="80"/>
            </w:pPr>
            <w:r/>
            <w:r>
              <w:rPr>
                <w:b/>
                <w:color w:val="C05500"/>
                <w:sz w:val="24"/>
              </w:rPr>
              <w:t xml:space="preserve">#I4  </w:t>
            </w:r>
            <w:r>
              <w:rPr>
                <w:b/>
                <w:sz w:val="24"/>
              </w:rPr>
              <w:t>Pas d'auto-shutdown des environnements de dev</w:t>
            </w:r>
          </w:p>
          <w:p>
            <w:pPr>
              <w:spacing w:after="40"/>
            </w:pPr>
            <w:r>
              <w:rPr>
                <w:b/>
                <w:sz w:val="20"/>
              </w:rPr>
              <w:t xml:space="preserve">Problème identifié : </w:t>
            </w:r>
            <w:r>
              <w:rPr>
                <w:sz w:val="20"/>
              </w:rPr>
              <w:t>docker-compose-dev.yml lance DB + runner en restart:always, sans détection d'inactivité.</w:t>
            </w:r>
          </w:p>
          <w:p>
            <w:pPr>
              <w:spacing w:after="40"/>
            </w:pPr>
            <w:r>
              <w:rPr>
                <w:b/>
                <w:sz w:val="20"/>
              </w:rPr>
              <w:t xml:space="preserve">Référence AFNOR : </w:t>
            </w:r>
            <w:r>
              <w:rPr>
                <w:sz w:val="20"/>
              </w:rPr>
              <w:t>BP05 — Mesures d'éco-conception en développement + BP24.</w:t>
            </w:r>
          </w:p>
          <w:p>
            <w:pPr>
              <w:spacing w:after="40"/>
            </w:pPr>
            <w:r>
              <w:rPr>
                <w:b/>
                <w:sz w:val="20"/>
              </w:rPr>
              <w:t xml:space="preserve">Action concrète recommandée : </w:t>
            </w:r>
            <w:r>
              <w:rPr>
                <w:sz w:val="20"/>
              </w:rPr>
              <w:t>Ajouter un script ./lexicon dev-stop-idle (ou un hook pre-suspend systemd) arrêtant les conteneurs après X heures sans commande lancée.</w:t>
            </w:r>
          </w:p>
          <w:p>
            <w:pPr>
              <w:spacing w:after="40"/>
            </w:pPr>
            <w:r>
              <w:rPr>
                <w:b/>
                <w:sz w:val="20"/>
              </w:rPr>
              <w:t xml:space="preserve">Impact estimé sur la frugalité : </w:t>
            </w:r>
            <w:r>
              <w:rPr>
                <w:sz w:val="20"/>
              </w:rPr>
              <w:t>Modéré.</w:t>
            </w:r>
          </w:p>
        </w:tc>
      </w:tr>
    </w:tbl>
    <w:p/>
    <w:p>
      <w:pPr>
        <w:pStyle w:val="Heading2"/>
        <w:jc w:val="left"/>
      </w:pPr>
      <w:r>
        <w:rPr>
          <w:color w:val="BF8F00"/>
          <w:sz w:val="30"/>
        </w:rPr>
        <w:t>4.3 Souhaitables (impact modéré / effort faible)</w:t>
      </w:r>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BF8F00"/>
              <w:right w:val="single" w:sz="4" w:color="BF8F00"/>
              <w:bottom w:val="single" w:sz="4" w:color="BF8F00"/>
              <w:left w:val="single" w:sz="32" w:color="BF8F00"/>
            </w:tcBorders>
          </w:tcPr>
          <w:p>
            <w:pPr>
              <w:spacing w:after="80"/>
            </w:pPr>
            <w:r/>
            <w:r>
              <w:rPr>
                <w:b/>
                <w:color w:val="BF8F00"/>
                <w:sz w:val="24"/>
              </w:rPr>
              <w:t xml:space="preserve">#S1  </w:t>
            </w:r>
            <w:r>
              <w:rPr>
                <w:b/>
                <w:sz w:val="24"/>
              </w:rPr>
              <w:t>PUE / WUE du datacenter hébergeur inconnu</w:t>
            </w:r>
          </w:p>
          <w:p>
            <w:pPr>
              <w:spacing w:after="40"/>
            </w:pPr>
            <w:r>
              <w:rPr>
                <w:b/>
                <w:sz w:val="20"/>
              </w:rPr>
              <w:t xml:space="preserve">Problème identifié : </w:t>
            </w:r>
            <w:r>
              <w:rPr>
                <w:sz w:val="20"/>
              </w:rPr>
              <w:t>L'infrastructure cible (vraisemblablement Hetzner ou OVH d'après le domaine osfarm.org / io.ekylibre.tech) n'a pas son PUE / WUE documentés dans le projet.</w:t>
            </w:r>
          </w:p>
          <w:p>
            <w:pPr>
              <w:spacing w:after="40"/>
            </w:pPr>
            <w:r>
              <w:rPr>
                <w:b/>
                <w:sz w:val="20"/>
              </w:rPr>
              <w:t xml:space="preserve">Référence AFNOR : </w:t>
            </w:r>
            <w:r>
              <w:rPr>
                <w:sz w:val="20"/>
              </w:rPr>
              <w:t>Section 4.2 du référentiel — Énergie &amp; localisation.</w:t>
            </w:r>
          </w:p>
          <w:p>
            <w:pPr>
              <w:spacing w:after="40"/>
            </w:pPr>
            <w:r>
              <w:rPr>
                <w:b/>
                <w:sz w:val="20"/>
              </w:rPr>
              <w:t xml:space="preserve">Action concrète recommandée : </w:t>
            </w:r>
            <w:r>
              <w:rPr>
                <w:sz w:val="20"/>
              </w:rPr>
              <w:t>Documenter dans doc/INFRASTRUCTURE.md : localisation du datacenter, mix énergétique national associé, PUE annoncé par l'hébergeur, présence ou non d'un engagement renouvelable.</w:t>
            </w:r>
          </w:p>
          <w:p>
            <w:pPr>
              <w:spacing w:after="40"/>
            </w:pPr>
            <w:r>
              <w:rPr>
                <w:b/>
                <w:sz w:val="20"/>
              </w:rPr>
              <w:t xml:space="preserve">Impact estimé sur la frugalité : </w:t>
            </w:r>
            <w:r>
              <w:rPr>
                <w:sz w:val="20"/>
              </w:rPr>
              <w:t>Faible (transparence, pas de réduction directe).</w:t>
            </w:r>
          </w:p>
        </w:tc>
      </w:tr>
    </w:tbl>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BF8F00"/>
              <w:right w:val="single" w:sz="4" w:color="BF8F00"/>
              <w:bottom w:val="single" w:sz="4" w:color="BF8F00"/>
              <w:left w:val="single" w:sz="32" w:color="BF8F00"/>
            </w:tcBorders>
          </w:tcPr>
          <w:p>
            <w:pPr>
              <w:spacing w:after="80"/>
            </w:pPr>
            <w:r/>
            <w:r>
              <w:rPr>
                <w:b/>
                <w:color w:val="BF8F00"/>
                <w:sz w:val="24"/>
              </w:rPr>
              <w:t xml:space="preserve">#S2  </w:t>
            </w:r>
            <w:r>
              <w:rPr>
                <w:b/>
                <w:sz w:val="24"/>
              </w:rPr>
              <w:t>Pas de comparatif explicite "avec IA vs sans IA" pour OpenWebUI</w:t>
            </w:r>
          </w:p>
          <w:p>
            <w:pPr>
              <w:spacing w:after="40"/>
            </w:pPr>
            <w:r>
              <w:rPr>
                <w:b/>
                <w:sz w:val="20"/>
              </w:rPr>
              <w:t xml:space="preserve">Problème identifié : </w:t>
            </w:r>
            <w:r>
              <w:rPr>
                <w:sz w:val="20"/>
              </w:rPr>
              <w:t>Aucune analyse documentée d'effet rebond ni de scénario de référence sans IA.</w:t>
            </w:r>
          </w:p>
          <w:p>
            <w:pPr>
              <w:spacing w:after="40"/>
            </w:pPr>
            <w:r>
              <w:rPr>
                <w:b/>
                <w:sz w:val="20"/>
              </w:rPr>
              <w:t xml:space="preserve">Référence AFNOR : </w:t>
            </w:r>
            <w:r>
              <w:rPr>
                <w:sz w:val="20"/>
              </w:rPr>
              <w:t>Section 1.3 du référentiel — Effets rebond.</w:t>
            </w:r>
          </w:p>
          <w:p>
            <w:pPr>
              <w:spacing w:after="40"/>
            </w:pPr>
            <w:r>
              <w:rPr>
                <w:b/>
                <w:sz w:val="20"/>
              </w:rPr>
              <w:t xml:space="preserve">Action concrète recommandée : </w:t>
            </w:r>
            <w:r>
              <w:rPr>
                <w:sz w:val="20"/>
              </w:rPr>
              <w:t>Section dans doc/AI_USAGE.md quantifiant le surcoût énergétique de chaque cas d'usage IA vs son équivalent non-IA (ex : « recherche dans la doc lexicon par IA » vs « grep + lecture humaine »).</w:t>
            </w:r>
          </w:p>
          <w:p>
            <w:pPr>
              <w:spacing w:after="40"/>
            </w:pPr>
            <w:r>
              <w:rPr>
                <w:b/>
                <w:sz w:val="20"/>
              </w:rPr>
              <w:t xml:space="preserve">Impact estimé sur la frugalité : </w:t>
            </w:r>
            <w:r>
              <w:rPr>
                <w:sz w:val="20"/>
              </w:rPr>
              <w:t>Faible (mais structurant).</w:t>
            </w:r>
          </w:p>
        </w:tc>
      </w:tr>
    </w:tbl>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BF8F00"/>
              <w:right w:val="single" w:sz="4" w:color="BF8F00"/>
              <w:bottom w:val="single" w:sz="4" w:color="BF8F00"/>
              <w:left w:val="single" w:sz="32" w:color="BF8F00"/>
            </w:tcBorders>
          </w:tcPr>
          <w:p>
            <w:pPr>
              <w:spacing w:after="80"/>
            </w:pPr>
            <w:r/>
            <w:r>
              <w:rPr>
                <w:b/>
                <w:color w:val="BF8F00"/>
                <w:sz w:val="24"/>
              </w:rPr>
              <w:t xml:space="preserve">#S3  </w:t>
            </w:r>
            <w:r>
              <w:rPr>
                <w:b/>
                <w:sz w:val="24"/>
              </w:rPr>
              <w:t>Aucune planification des jobs lourds en heures creuses</w:t>
            </w:r>
          </w:p>
          <w:p>
            <w:pPr>
              <w:spacing w:after="40"/>
            </w:pPr>
            <w:r>
              <w:rPr>
                <w:b/>
                <w:sz w:val="20"/>
              </w:rPr>
              <w:t xml:space="preserve">Problème identifié : </w:t>
            </w:r>
            <w:r>
              <w:rPr>
                <w:sz w:val="20"/>
              </w:rPr>
              <w:t>./lexicon run peut être lancé n'importe quand. Les téléchargements (collect) et imports (load) sont massifs (212 Go).</w:t>
            </w:r>
          </w:p>
          <w:p>
            <w:pPr>
              <w:spacing w:after="40"/>
            </w:pPr>
            <w:r>
              <w:rPr>
                <w:b/>
                <w:sz w:val="20"/>
              </w:rPr>
              <w:t xml:space="preserve">Référence AFNOR : </w:t>
            </w:r>
            <w:r>
              <w:rPr>
                <w:sz w:val="20"/>
              </w:rPr>
              <w:t>Section 4.2 — Heures de pointe / faible intensité carbone.</w:t>
            </w:r>
          </w:p>
          <w:p>
            <w:pPr>
              <w:spacing w:after="40"/>
            </w:pPr>
            <w:r>
              <w:rPr>
                <w:b/>
                <w:sz w:val="20"/>
              </w:rPr>
              <w:t xml:space="preserve">Action concrète recommandée : </w:t>
            </w:r>
            <w:r>
              <w:rPr>
                <w:sz w:val="20"/>
              </w:rPr>
              <w:t>Documenter une recommandation dans README.md : « Lancer ./lexicon run -P de nuit (22h-6h) ou le week-end pour aligner la consommation sur les périodes de plus faible intensité carbone du réseau électrique français (cf. RTE eCO2mix). » Optionnellement, intégrer un check via l'API RTE.</w:t>
            </w:r>
          </w:p>
          <w:p>
            <w:pPr>
              <w:spacing w:after="40"/>
            </w:pPr>
            <w:r>
              <w:rPr>
                <w:b/>
                <w:sz w:val="20"/>
              </w:rPr>
              <w:t xml:space="preserve">Impact estimé sur la frugalité : </w:t>
            </w:r>
            <w:r>
              <w:rPr>
                <w:sz w:val="20"/>
              </w:rPr>
              <w:t>Faible à Modéré.</w:t>
            </w:r>
          </w:p>
        </w:tc>
      </w:tr>
    </w:tbl>
    <w:p/>
    <w:p>
      <w:pPr>
        <w:pStyle w:val="Heading2"/>
        <w:jc w:val="left"/>
      </w:pPr>
      <w:r>
        <w:rPr>
          <w:color w:val="2E75B6"/>
          <w:sz w:val="30"/>
        </w:rPr>
        <w:t>4.4 Long terme (impact modéré / effort élevé)</w:t>
      </w:r>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2E75B6"/>
              <w:right w:val="single" w:sz="4" w:color="2E75B6"/>
              <w:bottom w:val="single" w:sz="4" w:color="2E75B6"/>
              <w:left w:val="single" w:sz="32" w:color="2E75B6"/>
            </w:tcBorders>
          </w:tcPr>
          <w:p>
            <w:pPr>
              <w:spacing w:after="80"/>
            </w:pPr>
            <w:r/>
            <w:r>
              <w:rPr>
                <w:b/>
                <w:color w:val="2E75B6"/>
                <w:sz w:val="24"/>
              </w:rPr>
              <w:t xml:space="preserve">#L1  </w:t>
            </w:r>
            <w:r>
              <w:rPr>
                <w:b/>
                <w:sz w:val="24"/>
              </w:rPr>
              <w:t>Edge computing non envisagé</w:t>
            </w:r>
          </w:p>
          <w:p>
            <w:pPr>
              <w:spacing w:after="40"/>
            </w:pPr>
            <w:r>
              <w:rPr>
                <w:b/>
                <w:sz w:val="20"/>
              </w:rPr>
              <w:t xml:space="preserve">Problème identifié : </w:t>
            </w:r>
            <w:r>
              <w:rPr>
                <w:sz w:val="20"/>
              </w:rPr>
              <w:t>OpenWebUI tape sur Ollama serveur — alternative : déléguer l'inférence au navigateur (WebLLM, Transformers.js) pour les petits modèles.</w:t>
            </w:r>
          </w:p>
          <w:p>
            <w:pPr>
              <w:spacing w:after="40"/>
            </w:pPr>
            <w:r>
              <w:rPr>
                <w:b/>
                <w:sz w:val="20"/>
              </w:rPr>
              <w:t xml:space="preserve">Référence AFNOR : </w:t>
            </w:r>
            <w:r>
              <w:rPr>
                <w:sz w:val="20"/>
              </w:rPr>
              <w:t>BP22 — Favoriser terminaux existants pour l'inférence.</w:t>
            </w:r>
          </w:p>
          <w:p>
            <w:pPr>
              <w:spacing w:after="40"/>
            </w:pPr>
            <w:r>
              <w:rPr>
                <w:b/>
                <w:sz w:val="20"/>
              </w:rPr>
              <w:t xml:space="preserve">Action concrète recommandée : </w:t>
            </w:r>
            <w:r>
              <w:rPr>
                <w:sz w:val="20"/>
              </w:rPr>
              <w:t>PoC sur un cas d'usage à fort volume (ex : assistant de saisie) basculé en inférence locale navigateur.</w:t>
            </w:r>
          </w:p>
          <w:p>
            <w:pPr>
              <w:spacing w:after="40"/>
            </w:pPr>
            <w:r>
              <w:rPr>
                <w:b/>
                <w:sz w:val="20"/>
              </w:rPr>
              <w:t xml:space="preserve">Impact estimé sur la frugalité : </w:t>
            </w:r>
            <w:r>
              <w:rPr>
                <w:sz w:val="20"/>
              </w:rPr>
              <w:t>Modéré.</w:t>
            </w:r>
          </w:p>
        </w:tc>
      </w:tr>
    </w:tbl>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2E75B6"/>
              <w:right w:val="single" w:sz="4" w:color="2E75B6"/>
              <w:bottom w:val="single" w:sz="4" w:color="2E75B6"/>
              <w:left w:val="single" w:sz="32" w:color="2E75B6"/>
            </w:tcBorders>
          </w:tcPr>
          <w:p>
            <w:pPr>
              <w:spacing w:after="80"/>
            </w:pPr>
            <w:r/>
            <w:r>
              <w:rPr>
                <w:b/>
                <w:color w:val="2E75B6"/>
                <w:sz w:val="24"/>
              </w:rPr>
              <w:t xml:space="preserve">#L2  </w:t>
            </w:r>
            <w:r>
              <w:rPr>
                <w:b/>
                <w:sz w:val="24"/>
              </w:rPr>
              <w:t>Tableau de bord environnemental absent</w:t>
            </w:r>
          </w:p>
          <w:p>
            <w:pPr>
              <w:spacing w:after="40"/>
            </w:pPr>
            <w:r>
              <w:rPr>
                <w:b/>
                <w:sz w:val="20"/>
              </w:rPr>
              <w:t xml:space="preserve">Problème identifié : </w:t>
            </w:r>
            <w:r>
              <w:rPr>
                <w:sz w:val="20"/>
              </w:rPr>
              <w:t>Aucun dashboard ne consolide les indicateurs (CO₂eq, kWh, m³ eau, GB stockés, requêtes LLM/jour).</w:t>
            </w:r>
          </w:p>
          <w:p>
            <w:pPr>
              <w:spacing w:after="40"/>
            </w:pPr>
            <w:r>
              <w:rPr>
                <w:b/>
                <w:sz w:val="20"/>
              </w:rPr>
              <w:t xml:space="preserve">Référence AFNOR : </w:t>
            </w:r>
            <w:r>
              <w:rPr>
                <w:sz w:val="20"/>
              </w:rPr>
              <w:t>Section 4.3 — Mesure et monitoring.</w:t>
            </w:r>
          </w:p>
          <w:p>
            <w:pPr>
              <w:spacing w:after="40"/>
            </w:pPr>
            <w:r>
              <w:rPr>
                <w:b/>
                <w:sz w:val="20"/>
              </w:rPr>
              <w:t xml:space="preserve">Action concrète recommandée : </w:t>
            </w:r>
            <w:r>
              <w:rPr>
                <w:sz w:val="20"/>
              </w:rPr>
              <w:t>Une fois EcoLogits intégré (action C2), construire un dashboard Grafana (ia.osfarm.org/metrics) avec les 4 indicateurs prioritaires + 4 recommandés AFNOR. Public et accessible (BP12, BP14).</w:t>
            </w:r>
          </w:p>
          <w:p>
            <w:pPr>
              <w:spacing w:after="40"/>
            </w:pPr>
            <w:r>
              <w:rPr>
                <w:b/>
                <w:sz w:val="20"/>
              </w:rPr>
              <w:t xml:space="preserve">Impact estimé sur la frugalité : </w:t>
            </w:r>
            <w:r>
              <w:rPr>
                <w:sz w:val="20"/>
              </w:rPr>
              <w:t>Modéré.</w:t>
            </w:r>
          </w:p>
        </w:tc>
      </w:tr>
    </w:tbl>
    <w:p/>
    <w:tbl>
      <w:tblPr>
        <w:tblW w:type="auto" w:w="0"/>
        <w:jc w:val="center"/>
        <w:tblLook w:firstColumn="1" w:firstRow="1" w:lastColumn="0" w:lastRow="0" w:noHBand="0" w:noVBand="1" w:val="04A0"/>
      </w:tblPr>
      <w:tblGrid>
        <w:gridCol w:w="9972"/>
      </w:tblGrid>
      <w:tr>
        <w:tc>
          <w:tcPr>
            <w:tcW w:type="dxa" w:w="9071"/>
            <w:shd w:val="clear" w:color="auto" w:fill="FAFAFA"/>
            <w:tcBorders>
              <w:top w:val="single" w:sz="4" w:color="2E75B6"/>
              <w:right w:val="single" w:sz="4" w:color="2E75B6"/>
              <w:bottom w:val="single" w:sz="4" w:color="2E75B6"/>
              <w:left w:val="single" w:sz="32" w:color="2E75B6"/>
            </w:tcBorders>
          </w:tcPr>
          <w:p>
            <w:pPr>
              <w:spacing w:after="80"/>
            </w:pPr>
            <w:r/>
            <w:r>
              <w:rPr>
                <w:b/>
                <w:color w:val="2E75B6"/>
                <w:sz w:val="24"/>
              </w:rPr>
              <w:t xml:space="preserve">#L3  </w:t>
            </w:r>
            <w:r>
              <w:rPr>
                <w:b/>
                <w:sz w:val="24"/>
              </w:rPr>
              <w:t>Décomposition fine-grained des modèles non explorée</w:t>
            </w:r>
          </w:p>
          <w:p>
            <w:pPr>
              <w:spacing w:after="40"/>
            </w:pPr>
            <w:r>
              <w:rPr>
                <w:b/>
                <w:sz w:val="20"/>
              </w:rPr>
              <w:t xml:space="preserve">Problème identifié : </w:t>
            </w:r>
            <w:r>
              <w:rPr>
                <w:sz w:val="20"/>
              </w:rPr>
              <w:t>Si plusieurs cas d'usage finissent par s'installer, ils convergent par défaut sur un même modèle généraliste.</w:t>
            </w:r>
          </w:p>
          <w:p>
            <w:pPr>
              <w:spacing w:after="40"/>
            </w:pPr>
            <w:r>
              <w:rPr>
                <w:b/>
                <w:sz w:val="20"/>
              </w:rPr>
              <w:t xml:space="preserve">Référence AFNOR : </w:t>
            </w:r>
            <w:r>
              <w:rPr>
                <w:sz w:val="20"/>
              </w:rPr>
              <w:t>BP28 — Décomposer un gros modèle en plusieurs petits modèles.</w:t>
            </w:r>
          </w:p>
          <w:p>
            <w:pPr>
              <w:spacing w:after="40"/>
            </w:pPr>
            <w:r>
              <w:rPr>
                <w:b/>
                <w:sz w:val="20"/>
              </w:rPr>
              <w:t xml:space="preserve">Action concrète recommandée : </w:t>
            </w:r>
            <w:r>
              <w:rPr>
                <w:sz w:val="20"/>
              </w:rPr>
              <w:t>Cartographier les cas d'usage par OpenWebUI/N8N et router chaque cas vers le modèle le plus petit qui le satisfait (routing dans OpenWebUI ou un proxy LiteLLM).</w:t>
            </w:r>
          </w:p>
          <w:p>
            <w:pPr>
              <w:spacing w:after="40"/>
            </w:pPr>
            <w:r>
              <w:rPr>
                <w:b/>
                <w:sz w:val="20"/>
              </w:rPr>
              <w:t xml:space="preserve">Impact estimé sur la frugalité : </w:t>
            </w:r>
            <w:r>
              <w:rPr>
                <w:sz w:val="20"/>
              </w:rPr>
              <w:t>Modéré.</w:t>
            </w:r>
          </w:p>
        </w:tc>
      </w:tr>
    </w:tbl>
    <w:p/>
    <w:p>
      <w:r>
        <w:br w:type="page"/>
      </w:r>
    </w:p>
    <w:p>
      <w:pPr>
        <w:pStyle w:val="Heading1"/>
        <w:jc w:val="left"/>
      </w:pPr>
      <w:r>
        <w:rPr>
          <w:color w:val="1F4E79"/>
          <w:sz w:val="40"/>
        </w:rPr>
        <w:t>5. Indicateurs environnementaux à mettre en place</w:t>
      </w:r>
    </w:p>
    <w:p>
      <w:pPr>
        <w:spacing w:after="120"/>
      </w:pPr>
      <w:r>
        <w:rPr>
          <w:b w:val="0"/>
          <w:i w:val="0"/>
          <w:sz w:val="22"/>
        </w:rPr>
        <w:t>Selon la priorité définie par l'AFNOR SPEC 2314 (section 2.1.6) :</w:t>
      </w:r>
    </w:p>
    <w:p>
      <w:pPr>
        <w:pStyle w:val="Heading2"/>
        <w:jc w:val="left"/>
      </w:pPr>
      <w:r>
        <w:rPr>
          <w:color w:val="1F4E79"/>
          <w:sz w:val="30"/>
        </w:rPr>
        <w:t>5.1 Priorité haute (obligatoires)</w:t>
      </w:r>
    </w:p>
    <w:tbl>
      <w:tblPr>
        <w:tblW w:type="auto" w:w="0"/>
        <w:jc w:val="center"/>
        <w:tblLayout w:type="fixed"/>
        <w:tblLook w:firstColumn="1" w:firstRow="1" w:lastColumn="0" w:lastRow="0" w:noHBand="0" w:noVBand="1" w:val="04A0"/>
      </w:tblPr>
      <w:tblGrid>
        <w:gridCol w:w="3324"/>
        <w:gridCol w:w="3324"/>
        <w:gridCol w:w="3324"/>
      </w:tblGrid>
      <w:tr>
        <w:tc>
          <w:tcPr>
            <w:tcW w:type="dxa" w:w="4535"/>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Indicateur</w:t>
            </w:r>
          </w:p>
        </w:tc>
        <w:tc>
          <w:tcPr>
            <w:tcW w:type="dxa" w:w="2268"/>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Unité</w:t>
            </w:r>
          </w:p>
        </w:tc>
        <w:tc>
          <w:tcPr>
            <w:tcW w:type="dxa" w:w="2268"/>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Actuellement mesuré</w:t>
            </w:r>
          </w:p>
        </w:tc>
      </w:tr>
      <w:tr>
        <w:tc>
          <w:tcPr>
            <w:tcW w:type="dxa" w:w="4535"/>
            <w:tcBorders>
              <w:top w:val="single" w:sz="4" w:color="BFBFBF"/>
              <w:left w:val="single" w:sz="4" w:color="BFBFBF"/>
              <w:bottom w:val="single" w:sz="4" w:color="BFBFBF"/>
              <w:right w:val="single" w:sz="4" w:color="BFBFBF"/>
            </w:tcBorders>
            <w:vAlign w:val="center"/>
          </w:tcPr>
          <w:p>
            <w:r/>
            <w:r>
              <w:rPr>
                <w:sz w:val="20"/>
              </w:rPr>
              <w:t>Changement climatique</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20"/>
              </w:rPr>
              <w:t>kg CO₂eq</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20"/>
              </w:rPr>
              <w:t>Non</w:t>
            </w:r>
          </w:p>
        </w:tc>
      </w:tr>
      <w:tr>
        <w:tc>
          <w:tcPr>
            <w:tcW w:type="dxa" w:w="4535"/>
            <w:tcBorders>
              <w:top w:val="single" w:sz="4" w:color="BFBFBF"/>
              <w:left w:val="single" w:sz="4" w:color="BFBFBF"/>
              <w:bottom w:val="single" w:sz="4" w:color="BFBFBF"/>
              <w:right w:val="single" w:sz="4" w:color="BFBFBF"/>
            </w:tcBorders>
            <w:vAlign w:val="center"/>
            <w:shd w:val="clear" w:color="auto" w:fill="F2F2F2"/>
          </w:tcPr>
          <w:p>
            <w:r/>
            <w:r>
              <w:rPr>
                <w:sz w:val="20"/>
              </w:rPr>
              <w:t>Épuisement ressources minéraux/métaux (ADP)</w:t>
            </w:r>
          </w:p>
        </w:tc>
        <w:tc>
          <w:tcPr>
            <w:tcW w:type="dxa" w:w="2268"/>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kg Sb eq</w:t>
            </w:r>
          </w:p>
        </w:tc>
        <w:tc>
          <w:tcPr>
            <w:tcW w:type="dxa" w:w="2268"/>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Non</w:t>
            </w:r>
          </w:p>
        </w:tc>
      </w:tr>
      <w:tr>
        <w:tc>
          <w:tcPr>
            <w:tcW w:type="dxa" w:w="4535"/>
            <w:tcBorders>
              <w:top w:val="single" w:sz="4" w:color="BFBFBF"/>
              <w:left w:val="single" w:sz="4" w:color="BFBFBF"/>
              <w:bottom w:val="single" w:sz="4" w:color="BFBFBF"/>
              <w:right w:val="single" w:sz="4" w:color="BFBFBF"/>
            </w:tcBorders>
            <w:vAlign w:val="center"/>
          </w:tcPr>
          <w:p>
            <w:r/>
            <w:r>
              <w:rPr>
                <w:sz w:val="20"/>
              </w:rPr>
              <w:t>Consommation énergie primaire</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20"/>
              </w:rPr>
              <w:t>kWh</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20"/>
              </w:rPr>
              <w:t>Non</w:t>
            </w:r>
          </w:p>
        </w:tc>
      </w:tr>
      <w:tr>
        <w:tc>
          <w:tcPr>
            <w:tcW w:type="dxa" w:w="4535"/>
            <w:tcBorders>
              <w:top w:val="single" w:sz="4" w:color="BFBFBF"/>
              <w:left w:val="single" w:sz="4" w:color="BFBFBF"/>
              <w:bottom w:val="single" w:sz="4" w:color="BFBFBF"/>
              <w:right w:val="single" w:sz="4" w:color="BFBFBF"/>
            </w:tcBorders>
            <w:vAlign w:val="center"/>
            <w:shd w:val="clear" w:color="auto" w:fill="F2F2F2"/>
          </w:tcPr>
          <w:p>
            <w:r/>
            <w:r>
              <w:rPr>
                <w:sz w:val="20"/>
              </w:rPr>
              <w:t>Consommation énergie finale / électricité</w:t>
            </w:r>
          </w:p>
        </w:tc>
        <w:tc>
          <w:tcPr>
            <w:tcW w:type="dxa" w:w="2268"/>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kWh</w:t>
            </w:r>
          </w:p>
        </w:tc>
        <w:tc>
          <w:tcPr>
            <w:tcW w:type="dxa" w:w="2268"/>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Non</w:t>
            </w:r>
          </w:p>
        </w:tc>
      </w:tr>
    </w:tbl>
    <w:p/>
    <w:p>
      <w:pPr>
        <w:pStyle w:val="Heading2"/>
        <w:jc w:val="left"/>
      </w:pPr>
      <w:r>
        <w:rPr>
          <w:color w:val="1F4E79"/>
          <w:sz w:val="30"/>
        </w:rPr>
        <w:t>5.2 Priorité moyenne (recommandés)</w:t>
      </w:r>
    </w:p>
    <w:tbl>
      <w:tblPr>
        <w:tblW w:type="auto" w:w="0"/>
        <w:jc w:val="center"/>
        <w:tblLayout w:type="fixed"/>
        <w:tblLook w:firstColumn="1" w:firstRow="1" w:lastColumn="0" w:lastRow="0" w:noHBand="0" w:noVBand="1" w:val="04A0"/>
      </w:tblPr>
      <w:tblGrid>
        <w:gridCol w:w="3324"/>
        <w:gridCol w:w="3324"/>
        <w:gridCol w:w="3324"/>
      </w:tblGrid>
      <w:tr>
        <w:tc>
          <w:tcPr>
            <w:tcW w:type="dxa" w:w="4535"/>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Indicateur</w:t>
            </w:r>
          </w:p>
        </w:tc>
        <w:tc>
          <w:tcPr>
            <w:tcW w:type="dxa" w:w="2268"/>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Unité</w:t>
            </w:r>
          </w:p>
        </w:tc>
        <w:tc>
          <w:tcPr>
            <w:tcW w:type="dxa" w:w="2268"/>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Actuellement mesuré</w:t>
            </w:r>
          </w:p>
        </w:tc>
      </w:tr>
      <w:tr>
        <w:tc>
          <w:tcPr>
            <w:tcW w:type="dxa" w:w="4535"/>
            <w:tcBorders>
              <w:top w:val="single" w:sz="4" w:color="BFBFBF"/>
              <w:left w:val="single" w:sz="4" w:color="BFBFBF"/>
              <w:bottom w:val="single" w:sz="4" w:color="BFBFBF"/>
              <w:right w:val="single" w:sz="4" w:color="BFBFBF"/>
            </w:tcBorders>
            <w:vAlign w:val="center"/>
          </w:tcPr>
          <w:p>
            <w:r/>
            <w:r>
              <w:rPr>
                <w:sz w:val="20"/>
              </w:rPr>
              <w:t>Consommation et prélèvement eau</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20"/>
              </w:rPr>
              <w:t>m³ world eq</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20"/>
              </w:rPr>
              <w:t>Non</w:t>
            </w:r>
          </w:p>
        </w:tc>
      </w:tr>
      <w:tr>
        <w:tc>
          <w:tcPr>
            <w:tcW w:type="dxa" w:w="4535"/>
            <w:tcBorders>
              <w:top w:val="single" w:sz="4" w:color="BFBFBF"/>
              <w:left w:val="single" w:sz="4" w:color="BFBFBF"/>
              <w:bottom w:val="single" w:sz="4" w:color="BFBFBF"/>
              <w:right w:val="single" w:sz="4" w:color="BFBFBF"/>
            </w:tcBorders>
            <w:vAlign w:val="center"/>
            <w:shd w:val="clear" w:color="auto" w:fill="F2F2F2"/>
          </w:tcPr>
          <w:p>
            <w:r/>
            <w:r>
              <w:rPr>
                <w:sz w:val="20"/>
              </w:rPr>
              <w:t>Acidification des océans</w:t>
            </w:r>
          </w:p>
        </w:tc>
        <w:tc>
          <w:tcPr>
            <w:tcW w:type="dxa" w:w="2268"/>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Mol H⁺eq</w:t>
            </w:r>
          </w:p>
        </w:tc>
        <w:tc>
          <w:tcPr>
            <w:tcW w:type="dxa" w:w="2268"/>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Non</w:t>
            </w:r>
          </w:p>
        </w:tc>
      </w:tr>
      <w:tr>
        <w:tc>
          <w:tcPr>
            <w:tcW w:type="dxa" w:w="4535"/>
            <w:tcBorders>
              <w:top w:val="single" w:sz="4" w:color="BFBFBF"/>
              <w:left w:val="single" w:sz="4" w:color="BFBFBF"/>
              <w:bottom w:val="single" w:sz="4" w:color="BFBFBF"/>
              <w:right w:val="single" w:sz="4" w:color="BFBFBF"/>
            </w:tcBorders>
            <w:vAlign w:val="center"/>
          </w:tcPr>
          <w:p>
            <w:r/>
            <w:r>
              <w:rPr>
                <w:sz w:val="20"/>
              </w:rPr>
              <w:t>Émissions de particules fines (incidence maladies)</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20"/>
              </w:rPr>
              <w:t>—</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20"/>
              </w:rPr>
              <w:t>Non</w:t>
            </w:r>
          </w:p>
        </w:tc>
      </w:tr>
      <w:tr>
        <w:tc>
          <w:tcPr>
            <w:tcW w:type="dxa" w:w="4535"/>
            <w:tcBorders>
              <w:top w:val="single" w:sz="4" w:color="BFBFBF"/>
              <w:left w:val="single" w:sz="4" w:color="BFBFBF"/>
              <w:bottom w:val="single" w:sz="4" w:color="BFBFBF"/>
              <w:right w:val="single" w:sz="4" w:color="BFBFBF"/>
            </w:tcBorders>
            <w:vAlign w:val="center"/>
            <w:shd w:val="clear" w:color="auto" w:fill="F2F2F2"/>
          </w:tcPr>
          <w:p>
            <w:r/>
            <w:r>
              <w:rPr>
                <w:sz w:val="20"/>
              </w:rPr>
              <w:t>Rayonnements ionisants</w:t>
            </w:r>
          </w:p>
        </w:tc>
        <w:tc>
          <w:tcPr>
            <w:tcW w:type="dxa" w:w="2268"/>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kBq U235eq</w:t>
            </w:r>
          </w:p>
        </w:tc>
        <w:tc>
          <w:tcPr>
            <w:tcW w:type="dxa" w:w="2268"/>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Non</w:t>
            </w:r>
          </w:p>
        </w:tc>
      </w:tr>
    </w:tbl>
    <w:p/>
    <w:tbl>
      <w:tblPr>
        <w:tblW w:type="auto" w:w="0"/>
        <w:jc w:val="center"/>
        <w:tblLook w:firstColumn="1" w:firstRow="1" w:lastColumn="0" w:lastRow="0" w:noHBand="0" w:noVBand="1" w:val="04A0"/>
      </w:tblPr>
      <w:tblGrid>
        <w:gridCol w:w="9972"/>
      </w:tblGrid>
      <w:tr>
        <w:tc>
          <w:tcPr>
            <w:tcW w:type="dxa" w:w="9071"/>
            <w:shd w:val="clear" w:color="auto" w:fill="FCE4D6"/>
            <w:tcBorders>
              <w:top w:val="single" w:sz="4" w:color="C05500"/>
              <w:right w:val="single" w:sz="4" w:color="C05500"/>
              <w:bottom w:val="single" w:sz="4" w:color="C05500"/>
              <w:left w:val="single" w:sz="24" w:color="C05500"/>
            </w:tcBorders>
          </w:tcPr>
          <w:p>
            <w:pPr>
              <w:spacing w:after="80"/>
            </w:pPr>
            <w:r/>
            <w:r>
              <w:rPr>
                <w:b/>
                <w:sz w:val="22"/>
              </w:rPr>
              <w:t>Verdict</w:t>
            </w:r>
          </w:p>
          <w:p>
            <w:r>
              <w:rPr>
                <w:sz w:val="20"/>
              </w:rPr>
              <w:t>Aucun indicateur AFNOR n'est instrumenté à ce jour. C'est le plus gros écart de conformité. L'action C2 (intégration d'EcoLogits) débloque mécaniquement les 4 indicateurs prioritaires.</w:t>
            </w:r>
          </w:p>
        </w:tc>
      </w:tr>
    </w:tbl>
    <w:p/>
    <w:p>
      <w:r>
        <w:br w:type="page"/>
      </w:r>
    </w:p>
    <w:p>
      <w:pPr>
        <w:pStyle w:val="Heading1"/>
        <w:jc w:val="left"/>
      </w:pPr>
      <w:r>
        <w:rPr>
          <w:color w:val="1F4E79"/>
          <w:sz w:val="40"/>
        </w:rPr>
        <w:t>6. Plan d'action recommandé</w:t>
      </w:r>
    </w:p>
    <w:p>
      <w:pPr>
        <w:pStyle w:val="Heading2"/>
        <w:jc w:val="left"/>
      </w:pPr>
      <w:r>
        <w:rPr>
          <w:color w:val="B00000"/>
          <w:sz w:val="30"/>
        </w:rPr>
        <w:t>6.1 Phase 1 — Rapide (0 à 4 semaines)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567"/>
            <w:shd w:val="clear" w:color="auto" w:fill="B00000"/>
            <w:tcBorders>
              <w:top w:val="single" w:sz="4" w:color="BFBFBF"/>
              <w:left w:val="single" w:sz="4" w:color="BFBFBF"/>
              <w:bottom w:val="single" w:sz="4" w:color="BFBFBF"/>
              <w:right w:val="single" w:sz="4" w:color="BFBFBF"/>
            </w:tcBorders>
            <w:vAlign w:val="center"/>
          </w:tcPr>
          <w:p>
            <w:pPr>
              <w:jc w:val="center"/>
            </w:pPr>
            <w:r/>
            <w:r>
              <w:rPr>
                <w:b/>
                <w:color w:val="FFFFFF"/>
                <w:sz w:val="22"/>
              </w:rPr>
              <w:t>#</w:t>
            </w:r>
          </w:p>
        </w:tc>
        <w:tc>
          <w:tcPr>
            <w:tcW w:type="dxa" w:w="5386"/>
            <w:shd w:val="clear" w:color="auto" w:fill="B00000"/>
            <w:tcBorders>
              <w:top w:val="single" w:sz="4" w:color="BFBFBF"/>
              <w:left w:val="single" w:sz="4" w:color="BFBFBF"/>
              <w:bottom w:val="single" w:sz="4" w:color="BFBFBF"/>
              <w:right w:val="single" w:sz="4" w:color="BFBFBF"/>
            </w:tcBorders>
            <w:vAlign w:val="center"/>
          </w:tcPr>
          <w:p>
            <w:pPr>
              <w:jc w:val="center"/>
            </w:pPr>
            <w:r/>
            <w:r>
              <w:rPr>
                <w:b/>
                <w:color w:val="FFFFFF"/>
                <w:sz w:val="22"/>
              </w:rPr>
              <w:t>Action</w:t>
            </w:r>
          </w:p>
        </w:tc>
        <w:tc>
          <w:tcPr>
            <w:tcW w:type="dxa" w:w="1984"/>
            <w:shd w:val="clear" w:color="auto" w:fill="B00000"/>
            <w:tcBorders>
              <w:top w:val="single" w:sz="4" w:color="BFBFBF"/>
              <w:left w:val="single" w:sz="4" w:color="BFBFBF"/>
              <w:bottom w:val="single" w:sz="4" w:color="BFBFBF"/>
              <w:right w:val="single" w:sz="4" w:color="BFBFBF"/>
            </w:tcBorders>
            <w:vAlign w:val="center"/>
          </w:tcPr>
          <w:p>
            <w:pPr>
              <w:jc w:val="center"/>
            </w:pPr>
            <w:r/>
            <w:r>
              <w:rPr>
                <w:b/>
                <w:color w:val="FFFFFF"/>
                <w:sz w:val="22"/>
              </w:rPr>
              <w:t>Référence BP</w:t>
            </w:r>
          </w:p>
        </w:tc>
        <w:tc>
          <w:tcPr>
            <w:tcW w:type="dxa" w:w="1134"/>
            <w:shd w:val="clear" w:color="auto" w:fill="B00000"/>
            <w:tcBorders>
              <w:top w:val="single" w:sz="4" w:color="BFBFBF"/>
              <w:left w:val="single" w:sz="4" w:color="BFBFBF"/>
              <w:bottom w:val="single" w:sz="4" w:color="BFBFBF"/>
              <w:right w:val="single" w:sz="4" w:color="BFBFBF"/>
            </w:tcBorders>
            <w:vAlign w:val="center"/>
          </w:tcPr>
          <w:p>
            <w:pPr>
              <w:jc w:val="center"/>
            </w:pPr>
            <w:r/>
            <w:r>
              <w:rPr>
                <w:b/>
                <w:color w:val="FFFFFF"/>
                <w:sz w:val="22"/>
              </w:rPr>
              <w:t>Impact</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sz w:val="20"/>
              </w:rPr>
              <w:t>1</w:t>
            </w:r>
          </w:p>
        </w:tc>
        <w:tc>
          <w:tcPr>
            <w:tcW w:type="dxa" w:w="5386"/>
            <w:tcBorders>
              <w:top w:val="single" w:sz="4" w:color="BFBFBF"/>
              <w:left w:val="single" w:sz="4" w:color="BFBFBF"/>
              <w:bottom w:val="single" w:sz="4" w:color="BFBFBF"/>
              <w:right w:val="single" w:sz="4" w:color="BFBFBF"/>
            </w:tcBorders>
            <w:vAlign w:val="center"/>
          </w:tcPr>
          <w:p>
            <w:r/>
            <w:r>
              <w:rPr>
                <w:sz w:val="20"/>
              </w:rPr>
              <w:t>Rédiger doc/AI_USAGE.md (cadrage Ollama/OpenWebUI/N8N)</w:t>
            </w:r>
          </w:p>
        </w:tc>
        <w:tc>
          <w:tcPr>
            <w:tcW w:type="dxa" w:w="1984"/>
            <w:tcBorders>
              <w:top w:val="single" w:sz="4" w:color="BFBFBF"/>
              <w:left w:val="single" w:sz="4" w:color="BFBFBF"/>
              <w:bottom w:val="single" w:sz="4" w:color="BFBFBF"/>
              <w:right w:val="single" w:sz="4" w:color="BFBFBF"/>
            </w:tcBorders>
            <w:vAlign w:val="center"/>
          </w:tcPr>
          <w:p>
            <w:r/>
            <w:r>
              <w:rPr>
                <w:sz w:val="20"/>
              </w:rPr>
              <w:t>BP01, BP02</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20"/>
              </w:rPr>
              <w:t>Élevé</w:t>
            </w:r>
          </w:p>
        </w:tc>
      </w:tr>
      <w:tr>
        <w:tc>
          <w:tcPr>
            <w:tcW w:type="dxa" w:w="567"/>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2</w:t>
            </w:r>
          </w:p>
        </w:tc>
        <w:tc>
          <w:tcPr>
            <w:tcW w:type="dxa" w:w="5386"/>
            <w:tcBorders>
              <w:top w:val="single" w:sz="4" w:color="BFBFBF"/>
              <w:left w:val="single" w:sz="4" w:color="BFBFBF"/>
              <w:bottom w:val="single" w:sz="4" w:color="BFBFBF"/>
              <w:right w:val="single" w:sz="4" w:color="BFBFBF"/>
            </w:tcBorders>
            <w:vAlign w:val="center"/>
            <w:shd w:val="clear" w:color="auto" w:fill="F2F2F2"/>
          </w:tcPr>
          <w:p>
            <w:r/>
            <w:r>
              <w:rPr>
                <w:sz w:val="20"/>
              </w:rPr>
              <w:t>Décider du sort de la stack IA — profile [ai] si optionnelle</w:t>
            </w:r>
          </w:p>
        </w:tc>
        <w:tc>
          <w:tcPr>
            <w:tcW w:type="dxa" w:w="1984"/>
            <w:tcBorders>
              <w:top w:val="single" w:sz="4" w:color="BFBFBF"/>
              <w:left w:val="single" w:sz="4" w:color="BFBFBF"/>
              <w:bottom w:val="single" w:sz="4" w:color="BFBFBF"/>
              <w:right w:val="single" w:sz="4" w:color="BFBFBF"/>
            </w:tcBorders>
            <w:vAlign w:val="center"/>
            <w:shd w:val="clear" w:color="auto" w:fill="F2F2F2"/>
          </w:tcPr>
          <w:p>
            <w:r/>
            <w:r>
              <w:rPr>
                <w:sz w:val="20"/>
              </w:rPr>
              <w:t>BP02, BP24</w:t>
            </w:r>
          </w:p>
        </w:tc>
        <w:tc>
          <w:tcPr>
            <w:tcW w:type="dxa" w:w="1134"/>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Élevé</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sz w:val="20"/>
              </w:rPr>
              <w:t>3</w:t>
            </w:r>
          </w:p>
        </w:tc>
        <w:tc>
          <w:tcPr>
            <w:tcW w:type="dxa" w:w="5386"/>
            <w:tcBorders>
              <w:top w:val="single" w:sz="4" w:color="BFBFBF"/>
              <w:left w:val="single" w:sz="4" w:color="BFBFBF"/>
              <w:bottom w:val="single" w:sz="4" w:color="BFBFBF"/>
              <w:right w:val="single" w:sz="4" w:color="BFBFBF"/>
            </w:tcBorders>
            <w:vAlign w:val="center"/>
          </w:tcPr>
          <w:p>
            <w:r/>
            <w:r>
              <w:rPr>
                <w:sz w:val="20"/>
              </w:rPr>
              <w:t>Liste blanche de modèles Ollama (≤ 8B Q4)</w:t>
            </w:r>
          </w:p>
        </w:tc>
        <w:tc>
          <w:tcPr>
            <w:tcW w:type="dxa" w:w="1984"/>
            <w:tcBorders>
              <w:top w:val="single" w:sz="4" w:color="BFBFBF"/>
              <w:left w:val="single" w:sz="4" w:color="BFBFBF"/>
              <w:bottom w:val="single" w:sz="4" w:color="BFBFBF"/>
              <w:right w:val="single" w:sz="4" w:color="BFBFBF"/>
            </w:tcBorders>
            <w:vAlign w:val="center"/>
          </w:tcPr>
          <w:p>
            <w:r/>
            <w:r>
              <w:rPr>
                <w:sz w:val="20"/>
              </w:rPr>
              <w:t>BP27, BP30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20"/>
              </w:rPr>
              <w:t>Élevé</w:t>
            </w:r>
          </w:p>
        </w:tc>
      </w:tr>
      <w:tr>
        <w:tc>
          <w:tcPr>
            <w:tcW w:type="dxa" w:w="567"/>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4</w:t>
            </w:r>
          </w:p>
        </w:tc>
        <w:tc>
          <w:tcPr>
            <w:tcW w:type="dxa" w:w="5386"/>
            <w:tcBorders>
              <w:top w:val="single" w:sz="4" w:color="BFBFBF"/>
              <w:left w:val="single" w:sz="4" w:color="BFBFBF"/>
              <w:bottom w:val="single" w:sz="4" w:color="BFBFBF"/>
              <w:right w:val="single" w:sz="4" w:color="BFBFBF"/>
            </w:tcBorders>
            <w:vAlign w:val="center"/>
            <w:shd w:val="clear" w:color="auto" w:fill="F2F2F2"/>
          </w:tcPr>
          <w:p>
            <w:r/>
            <w:r>
              <w:rPr>
                <w:sz w:val="20"/>
              </w:rPr>
              <w:t>Auto-stop OpenWebUI/Ollama après inactivité (cron)</w:t>
            </w:r>
          </w:p>
        </w:tc>
        <w:tc>
          <w:tcPr>
            <w:tcW w:type="dxa" w:w="1984"/>
            <w:tcBorders>
              <w:top w:val="single" w:sz="4" w:color="BFBFBF"/>
              <w:left w:val="single" w:sz="4" w:color="BFBFBF"/>
              <w:bottom w:val="single" w:sz="4" w:color="BFBFBF"/>
              <w:right w:val="single" w:sz="4" w:color="BFBFBF"/>
            </w:tcBorders>
            <w:vAlign w:val="center"/>
            <w:shd w:val="clear" w:color="auto" w:fill="F2F2F2"/>
          </w:tcPr>
          <w:p>
            <w:r/>
            <w:r>
              <w:rPr>
                <w:sz w:val="20"/>
              </w:rPr>
              <w:t>BP24</w:t>
            </w:r>
          </w:p>
        </w:tc>
        <w:tc>
          <w:tcPr>
            <w:tcW w:type="dxa" w:w="1134"/>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Modéré</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sz w:val="20"/>
              </w:rPr>
              <w:t>5</w:t>
            </w:r>
          </w:p>
        </w:tc>
        <w:tc>
          <w:tcPr>
            <w:tcW w:type="dxa" w:w="5386"/>
            <w:tcBorders>
              <w:top w:val="single" w:sz="4" w:color="BFBFBF"/>
              <w:left w:val="single" w:sz="4" w:color="BFBFBF"/>
              <w:bottom w:val="single" w:sz="4" w:color="BFBFBF"/>
              <w:right w:val="single" w:sz="4" w:color="BFBFBF"/>
            </w:tcBorders>
            <w:vAlign w:val="center"/>
          </w:tcPr>
          <w:p>
            <w:r/>
            <w:r>
              <w:rPr>
                <w:sz w:val="20"/>
              </w:rPr>
              <w:t>Commande ./lexicon clean --raw + politique de rétention</w:t>
            </w:r>
          </w:p>
        </w:tc>
        <w:tc>
          <w:tcPr>
            <w:tcW w:type="dxa" w:w="1984"/>
            <w:tcBorders>
              <w:top w:val="single" w:sz="4" w:color="BFBFBF"/>
              <w:left w:val="single" w:sz="4" w:color="BFBFBF"/>
              <w:bottom w:val="single" w:sz="4" w:color="BFBFBF"/>
              <w:right w:val="single" w:sz="4" w:color="BFBFBF"/>
            </w:tcBorders>
            <w:vAlign w:val="center"/>
          </w:tcPr>
          <w:p>
            <w:r/>
            <w:r>
              <w:rPr>
                <w:sz w:val="20"/>
              </w:rPr>
              <w:t>BP06, BP10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20"/>
              </w:rPr>
              <w:t>Élevé</w:t>
            </w:r>
          </w:p>
        </w:tc>
      </w:tr>
    </w:tbl>
    <w:p/>
    <w:p>
      <w:pPr>
        <w:pStyle w:val="Heading2"/>
        <w:jc w:val="left"/>
      </w:pPr>
      <w:r>
        <w:rPr>
          <w:color w:val="C05500"/>
          <w:sz w:val="30"/>
        </w:rPr>
        <w:t>6.2 Phase 2 — Court terme (1 à 3 mois)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567"/>
            <w:shd w:val="clear" w:color="auto" w:fill="C05500"/>
            <w:tcBorders>
              <w:top w:val="single" w:sz="4" w:color="BFBFBF"/>
              <w:left w:val="single" w:sz="4" w:color="BFBFBF"/>
              <w:bottom w:val="single" w:sz="4" w:color="BFBFBF"/>
              <w:right w:val="single" w:sz="4" w:color="BFBFBF"/>
            </w:tcBorders>
            <w:vAlign w:val="center"/>
          </w:tcPr>
          <w:p>
            <w:pPr>
              <w:jc w:val="center"/>
            </w:pPr>
            <w:r/>
            <w:r>
              <w:rPr>
                <w:b/>
                <w:color w:val="FFFFFF"/>
                <w:sz w:val="22"/>
              </w:rPr>
              <w:t>#</w:t>
            </w:r>
          </w:p>
        </w:tc>
        <w:tc>
          <w:tcPr>
            <w:tcW w:type="dxa" w:w="5386"/>
            <w:shd w:val="clear" w:color="auto" w:fill="C05500"/>
            <w:tcBorders>
              <w:top w:val="single" w:sz="4" w:color="BFBFBF"/>
              <w:left w:val="single" w:sz="4" w:color="BFBFBF"/>
              <w:bottom w:val="single" w:sz="4" w:color="BFBFBF"/>
              <w:right w:val="single" w:sz="4" w:color="BFBFBF"/>
            </w:tcBorders>
            <w:vAlign w:val="center"/>
          </w:tcPr>
          <w:p>
            <w:pPr>
              <w:jc w:val="center"/>
            </w:pPr>
            <w:r/>
            <w:r>
              <w:rPr>
                <w:b/>
                <w:color w:val="FFFFFF"/>
                <w:sz w:val="22"/>
              </w:rPr>
              <w:t>Action</w:t>
            </w:r>
          </w:p>
        </w:tc>
        <w:tc>
          <w:tcPr>
            <w:tcW w:type="dxa" w:w="1984"/>
            <w:shd w:val="clear" w:color="auto" w:fill="C05500"/>
            <w:tcBorders>
              <w:top w:val="single" w:sz="4" w:color="BFBFBF"/>
              <w:left w:val="single" w:sz="4" w:color="BFBFBF"/>
              <w:bottom w:val="single" w:sz="4" w:color="BFBFBF"/>
              <w:right w:val="single" w:sz="4" w:color="BFBFBF"/>
            </w:tcBorders>
            <w:vAlign w:val="center"/>
          </w:tcPr>
          <w:p>
            <w:pPr>
              <w:jc w:val="center"/>
            </w:pPr>
            <w:r/>
            <w:r>
              <w:rPr>
                <w:b/>
                <w:color w:val="FFFFFF"/>
                <w:sz w:val="22"/>
              </w:rPr>
              <w:t>Référence BP</w:t>
            </w:r>
          </w:p>
        </w:tc>
        <w:tc>
          <w:tcPr>
            <w:tcW w:type="dxa" w:w="1134"/>
            <w:shd w:val="clear" w:color="auto" w:fill="C05500"/>
            <w:tcBorders>
              <w:top w:val="single" w:sz="4" w:color="BFBFBF"/>
              <w:left w:val="single" w:sz="4" w:color="BFBFBF"/>
              <w:bottom w:val="single" w:sz="4" w:color="BFBFBF"/>
              <w:right w:val="single" w:sz="4" w:color="BFBFBF"/>
            </w:tcBorders>
            <w:vAlign w:val="center"/>
          </w:tcPr>
          <w:p>
            <w:pPr>
              <w:jc w:val="center"/>
            </w:pPr>
            <w:r/>
            <w:r>
              <w:rPr>
                <w:b/>
                <w:color w:val="FFFFFF"/>
                <w:sz w:val="22"/>
              </w:rPr>
              <w:t>Impact</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sz w:val="20"/>
              </w:rPr>
              <w:t>6</w:t>
            </w:r>
          </w:p>
        </w:tc>
        <w:tc>
          <w:tcPr>
            <w:tcW w:type="dxa" w:w="5386"/>
            <w:tcBorders>
              <w:top w:val="single" w:sz="4" w:color="BFBFBF"/>
              <w:left w:val="single" w:sz="4" w:color="BFBFBF"/>
              <w:bottom w:val="single" w:sz="4" w:color="BFBFBF"/>
              <w:right w:val="single" w:sz="4" w:color="BFBFBF"/>
            </w:tcBorders>
            <w:vAlign w:val="center"/>
          </w:tcPr>
          <w:p>
            <w:r/>
            <w:r>
              <w:rPr>
                <w:sz w:val="20"/>
              </w:rPr>
              <w:t>Intégrer EcoLogits + Scaphandre sur l'host</w:t>
            </w:r>
          </w:p>
        </w:tc>
        <w:tc>
          <w:tcPr>
            <w:tcW w:type="dxa" w:w="1984"/>
            <w:tcBorders>
              <w:top w:val="single" w:sz="4" w:color="BFBFBF"/>
              <w:left w:val="single" w:sz="4" w:color="BFBFBF"/>
              <w:bottom w:val="single" w:sz="4" w:color="BFBFBF"/>
              <w:right w:val="single" w:sz="4" w:color="BFBFBF"/>
            </w:tcBorders>
            <w:vAlign w:val="center"/>
          </w:tcPr>
          <w:p>
            <w:r/>
            <w:r>
              <w:rPr>
                <w:sz w:val="20"/>
              </w:rPr>
              <w:t>BP23, BP25</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20"/>
              </w:rPr>
              <w:t>Élevé</w:t>
            </w:r>
          </w:p>
        </w:tc>
      </w:tr>
      <w:tr>
        <w:tc>
          <w:tcPr>
            <w:tcW w:type="dxa" w:w="567"/>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7</w:t>
            </w:r>
          </w:p>
        </w:tc>
        <w:tc>
          <w:tcPr>
            <w:tcW w:type="dxa" w:w="5386"/>
            <w:tcBorders>
              <w:top w:val="single" w:sz="4" w:color="BFBFBF"/>
              <w:left w:val="single" w:sz="4" w:color="BFBFBF"/>
              <w:bottom w:val="single" w:sz="4" w:color="BFBFBF"/>
              <w:right w:val="single" w:sz="4" w:color="BFBFBF"/>
            </w:tcBorders>
            <w:vAlign w:val="center"/>
            <w:shd w:val="clear" w:color="auto" w:fill="F2F2F2"/>
          </w:tcPr>
          <w:p>
            <w:r/>
            <w:r>
              <w:rPr>
                <w:sz w:val="20"/>
              </w:rPr>
              <w:t>Politique de tiering MinIO pour out/&lt;version&gt;/</w:t>
            </w:r>
          </w:p>
        </w:tc>
        <w:tc>
          <w:tcPr>
            <w:tcW w:type="dxa" w:w="1984"/>
            <w:tcBorders>
              <w:top w:val="single" w:sz="4" w:color="BFBFBF"/>
              <w:left w:val="single" w:sz="4" w:color="BFBFBF"/>
              <w:bottom w:val="single" w:sz="4" w:color="BFBFBF"/>
              <w:right w:val="single" w:sz="4" w:color="BFBFBF"/>
            </w:tcBorders>
            <w:vAlign w:val="center"/>
            <w:shd w:val="clear" w:color="auto" w:fill="F2F2F2"/>
          </w:tcPr>
          <w:p>
            <w:r/>
            <w:r>
              <w:rPr>
                <w:sz w:val="20"/>
              </w:rPr>
              <w:t>BP10</w:t>
            </w:r>
          </w:p>
        </w:tc>
        <w:tc>
          <w:tcPr>
            <w:tcW w:type="dxa" w:w="1134"/>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Modéré</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sz w:val="20"/>
              </w:rPr>
              <w:t>8</w:t>
            </w:r>
          </w:p>
        </w:tc>
        <w:tc>
          <w:tcPr>
            <w:tcW w:type="dxa" w:w="5386"/>
            <w:tcBorders>
              <w:top w:val="single" w:sz="4" w:color="BFBFBF"/>
              <w:left w:val="single" w:sz="4" w:color="BFBFBF"/>
              <w:bottom w:val="single" w:sz="4" w:color="BFBFBF"/>
              <w:right w:val="single" w:sz="4" w:color="BFBFBF"/>
            </w:tcBorders>
            <w:vAlign w:val="center"/>
          </w:tcPr>
          <w:p>
            <w:r/>
            <w:r>
              <w:rPr>
                <w:sz w:val="20"/>
              </w:rPr>
              <w:t>Tableau de bord Grafana avec 4 indicateurs AFNOR prioritaires</w:t>
            </w:r>
          </w:p>
        </w:tc>
        <w:tc>
          <w:tcPr>
            <w:tcW w:type="dxa" w:w="1984"/>
            <w:tcBorders>
              <w:top w:val="single" w:sz="4" w:color="BFBFBF"/>
              <w:left w:val="single" w:sz="4" w:color="BFBFBF"/>
              <w:bottom w:val="single" w:sz="4" w:color="BFBFBF"/>
              <w:right w:val="single" w:sz="4" w:color="BFBFBF"/>
            </w:tcBorders>
            <w:vAlign w:val="center"/>
          </w:tcPr>
          <w:p>
            <w:r/>
            <w:r>
              <w:rPr>
                <w:sz w:val="20"/>
              </w:rPr>
              <w:t>Section 4.3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20"/>
              </w:rPr>
              <w:t>Élevé</w:t>
            </w:r>
          </w:p>
        </w:tc>
      </w:tr>
      <w:tr>
        <w:tc>
          <w:tcPr>
            <w:tcW w:type="dxa" w:w="567"/>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9</w:t>
            </w:r>
          </w:p>
        </w:tc>
        <w:tc>
          <w:tcPr>
            <w:tcW w:type="dxa" w:w="5386"/>
            <w:tcBorders>
              <w:top w:val="single" w:sz="4" w:color="BFBFBF"/>
              <w:left w:val="single" w:sz="4" w:color="BFBFBF"/>
              <w:bottom w:val="single" w:sz="4" w:color="BFBFBF"/>
              <w:right w:val="single" w:sz="4" w:color="BFBFBF"/>
            </w:tcBorders>
            <w:vAlign w:val="center"/>
            <w:shd w:val="clear" w:color="auto" w:fill="F2F2F2"/>
          </w:tcPr>
          <w:p>
            <w:r/>
            <w:r>
              <w:rPr>
                <w:sz w:val="20"/>
              </w:rPr>
              <w:t>Documenter PUE/WUE/mix énergétique de l'hébergeur</w:t>
            </w:r>
          </w:p>
        </w:tc>
        <w:tc>
          <w:tcPr>
            <w:tcW w:type="dxa" w:w="1984"/>
            <w:tcBorders>
              <w:top w:val="single" w:sz="4" w:color="BFBFBF"/>
              <w:left w:val="single" w:sz="4" w:color="BFBFBF"/>
              <w:bottom w:val="single" w:sz="4" w:color="BFBFBF"/>
              <w:right w:val="single" w:sz="4" w:color="BFBFBF"/>
            </w:tcBorders>
            <w:vAlign w:val="center"/>
            <w:shd w:val="clear" w:color="auto" w:fill="F2F2F2"/>
          </w:tcPr>
          <w:p>
            <w:r/>
            <w:r>
              <w:rPr>
                <w:sz w:val="20"/>
              </w:rPr>
              <w:t>Section 4.2</w:t>
            </w:r>
          </w:p>
        </w:tc>
        <w:tc>
          <w:tcPr>
            <w:tcW w:type="dxa" w:w="1134"/>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Faible</w:t>
            </w:r>
          </w:p>
        </w:tc>
      </w:tr>
    </w:tbl>
    <w:p/>
    <w:p>
      <w:pPr>
        <w:pStyle w:val="Heading2"/>
        <w:jc w:val="left"/>
      </w:pPr>
      <w:r>
        <w:rPr>
          <w:color w:val="2E75B6"/>
          <w:sz w:val="30"/>
        </w:rPr>
        <w:t>6.3 Phase 3 — Moyen terme (3 à 6 mois)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567"/>
            <w:shd w:val="clear" w:color="auto" w:fill="2E75B6"/>
            <w:tcBorders>
              <w:top w:val="single" w:sz="4" w:color="BFBFBF"/>
              <w:left w:val="single" w:sz="4" w:color="BFBFBF"/>
              <w:bottom w:val="single" w:sz="4" w:color="BFBFBF"/>
              <w:right w:val="single" w:sz="4" w:color="BFBFBF"/>
            </w:tcBorders>
            <w:vAlign w:val="center"/>
          </w:tcPr>
          <w:p>
            <w:pPr>
              <w:jc w:val="center"/>
            </w:pPr>
            <w:r/>
            <w:r>
              <w:rPr>
                <w:b/>
                <w:color w:val="FFFFFF"/>
                <w:sz w:val="22"/>
              </w:rPr>
              <w:t>#</w:t>
            </w:r>
          </w:p>
        </w:tc>
        <w:tc>
          <w:tcPr>
            <w:tcW w:type="dxa" w:w="5386"/>
            <w:shd w:val="clear" w:color="auto" w:fill="2E75B6"/>
            <w:tcBorders>
              <w:top w:val="single" w:sz="4" w:color="BFBFBF"/>
              <w:left w:val="single" w:sz="4" w:color="BFBFBF"/>
              <w:bottom w:val="single" w:sz="4" w:color="BFBFBF"/>
              <w:right w:val="single" w:sz="4" w:color="BFBFBF"/>
            </w:tcBorders>
            <w:vAlign w:val="center"/>
          </w:tcPr>
          <w:p>
            <w:pPr>
              <w:jc w:val="center"/>
            </w:pPr>
            <w:r/>
            <w:r>
              <w:rPr>
                <w:b/>
                <w:color w:val="FFFFFF"/>
                <w:sz w:val="22"/>
              </w:rPr>
              <w:t>Action</w:t>
            </w:r>
          </w:p>
        </w:tc>
        <w:tc>
          <w:tcPr>
            <w:tcW w:type="dxa" w:w="1984"/>
            <w:shd w:val="clear" w:color="auto" w:fill="2E75B6"/>
            <w:tcBorders>
              <w:top w:val="single" w:sz="4" w:color="BFBFBF"/>
              <w:left w:val="single" w:sz="4" w:color="BFBFBF"/>
              <w:bottom w:val="single" w:sz="4" w:color="BFBFBF"/>
              <w:right w:val="single" w:sz="4" w:color="BFBFBF"/>
            </w:tcBorders>
            <w:vAlign w:val="center"/>
          </w:tcPr>
          <w:p>
            <w:pPr>
              <w:jc w:val="center"/>
            </w:pPr>
            <w:r/>
            <w:r>
              <w:rPr>
                <w:b/>
                <w:color w:val="FFFFFF"/>
                <w:sz w:val="22"/>
              </w:rPr>
              <w:t>Référence BP</w:t>
            </w:r>
          </w:p>
        </w:tc>
        <w:tc>
          <w:tcPr>
            <w:tcW w:type="dxa" w:w="1134"/>
            <w:shd w:val="clear" w:color="auto" w:fill="2E75B6"/>
            <w:tcBorders>
              <w:top w:val="single" w:sz="4" w:color="BFBFBF"/>
              <w:left w:val="single" w:sz="4" w:color="BFBFBF"/>
              <w:bottom w:val="single" w:sz="4" w:color="BFBFBF"/>
              <w:right w:val="single" w:sz="4" w:color="BFBFBF"/>
            </w:tcBorders>
            <w:vAlign w:val="center"/>
          </w:tcPr>
          <w:p>
            <w:pPr>
              <w:jc w:val="center"/>
            </w:pPr>
            <w:r/>
            <w:r>
              <w:rPr>
                <w:b/>
                <w:color w:val="FFFFFF"/>
                <w:sz w:val="22"/>
              </w:rPr>
              <w:t>Impact</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sz w:val="20"/>
              </w:rPr>
              <w:t>10</w:t>
            </w:r>
          </w:p>
        </w:tc>
        <w:tc>
          <w:tcPr>
            <w:tcW w:type="dxa" w:w="5386"/>
            <w:tcBorders>
              <w:top w:val="single" w:sz="4" w:color="BFBFBF"/>
              <w:left w:val="single" w:sz="4" w:color="BFBFBF"/>
              <w:bottom w:val="single" w:sz="4" w:color="BFBFBF"/>
              <w:right w:val="single" w:sz="4" w:color="BFBFBF"/>
            </w:tcBorders>
            <w:vAlign w:val="center"/>
          </w:tcPr>
          <w:p>
            <w:r/>
            <w:r>
              <w:rPr>
                <w:sz w:val="20"/>
              </w:rPr>
              <w:t>Comparatif quantitatif IA vs non-IA par cas d'usage</w:t>
            </w:r>
          </w:p>
        </w:tc>
        <w:tc>
          <w:tcPr>
            <w:tcW w:type="dxa" w:w="1984"/>
            <w:tcBorders>
              <w:top w:val="single" w:sz="4" w:color="BFBFBF"/>
              <w:left w:val="single" w:sz="4" w:color="BFBFBF"/>
              <w:bottom w:val="single" w:sz="4" w:color="BFBFBF"/>
              <w:right w:val="single" w:sz="4" w:color="BFBFBF"/>
            </w:tcBorders>
            <w:vAlign w:val="center"/>
          </w:tcPr>
          <w:p>
            <w:r/>
            <w:r>
              <w:rPr>
                <w:sz w:val="20"/>
              </w:rPr>
              <w:t>Section 1.3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20"/>
              </w:rPr>
              <w:t>Modéré</w:t>
            </w:r>
          </w:p>
        </w:tc>
      </w:tr>
      <w:tr>
        <w:tc>
          <w:tcPr>
            <w:tcW w:type="dxa" w:w="567"/>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11</w:t>
            </w:r>
          </w:p>
        </w:tc>
        <w:tc>
          <w:tcPr>
            <w:tcW w:type="dxa" w:w="5386"/>
            <w:tcBorders>
              <w:top w:val="single" w:sz="4" w:color="BFBFBF"/>
              <w:left w:val="single" w:sz="4" w:color="BFBFBF"/>
              <w:bottom w:val="single" w:sz="4" w:color="BFBFBF"/>
              <w:right w:val="single" w:sz="4" w:color="BFBFBF"/>
            </w:tcBorders>
            <w:vAlign w:val="center"/>
            <w:shd w:val="clear" w:color="auto" w:fill="F2F2F2"/>
          </w:tcPr>
          <w:p>
            <w:r/>
            <w:r>
              <w:rPr>
                <w:sz w:val="20"/>
              </w:rPr>
              <w:t>Routing multi-modèles (LiteLLM ou équivalent)</w:t>
            </w:r>
          </w:p>
        </w:tc>
        <w:tc>
          <w:tcPr>
            <w:tcW w:type="dxa" w:w="1984"/>
            <w:tcBorders>
              <w:top w:val="single" w:sz="4" w:color="BFBFBF"/>
              <w:left w:val="single" w:sz="4" w:color="BFBFBF"/>
              <w:bottom w:val="single" w:sz="4" w:color="BFBFBF"/>
              <w:right w:val="single" w:sz="4" w:color="BFBFBF"/>
            </w:tcBorders>
            <w:vAlign w:val="center"/>
            <w:shd w:val="clear" w:color="auto" w:fill="F2F2F2"/>
          </w:tcPr>
          <w:p>
            <w:r/>
            <w:r>
              <w:rPr>
                <w:sz w:val="20"/>
              </w:rPr>
              <w:t>BP28</w:t>
            </w:r>
          </w:p>
        </w:tc>
        <w:tc>
          <w:tcPr>
            <w:tcW w:type="dxa" w:w="1134"/>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Modéré</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sz w:val="20"/>
              </w:rPr>
              <w:t>12</w:t>
            </w:r>
          </w:p>
        </w:tc>
        <w:tc>
          <w:tcPr>
            <w:tcW w:type="dxa" w:w="5386"/>
            <w:tcBorders>
              <w:top w:val="single" w:sz="4" w:color="BFBFBF"/>
              <w:left w:val="single" w:sz="4" w:color="BFBFBF"/>
              <w:bottom w:val="single" w:sz="4" w:color="BFBFBF"/>
              <w:right w:val="single" w:sz="4" w:color="BFBFBF"/>
            </w:tcBorders>
            <w:vAlign w:val="center"/>
          </w:tcPr>
          <w:p>
            <w:r/>
            <w:r>
              <w:rPr>
                <w:sz w:val="20"/>
              </w:rPr>
              <w:t>Intégrer la checklist AFNOR dans CONVENTIONS.md</w:t>
            </w:r>
          </w:p>
        </w:tc>
        <w:tc>
          <w:tcPr>
            <w:tcW w:type="dxa" w:w="1984"/>
            <w:tcBorders>
              <w:top w:val="single" w:sz="4" w:color="BFBFBF"/>
              <w:left w:val="single" w:sz="4" w:color="BFBFBF"/>
              <w:bottom w:val="single" w:sz="4" w:color="BFBFBF"/>
              <w:right w:val="single" w:sz="4" w:color="BFBFBF"/>
            </w:tcBorders>
            <w:vAlign w:val="center"/>
          </w:tcPr>
          <w:p>
            <w:r/>
            <w:r>
              <w:rPr>
                <w:sz w:val="20"/>
              </w:rPr>
              <w:t>BP12, BP14</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20"/>
              </w:rPr>
              <w:t>Modéré</w:t>
            </w:r>
          </w:p>
        </w:tc>
      </w:tr>
      <w:tr>
        <w:tc>
          <w:tcPr>
            <w:tcW w:type="dxa" w:w="567"/>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13</w:t>
            </w:r>
          </w:p>
        </w:tc>
        <w:tc>
          <w:tcPr>
            <w:tcW w:type="dxa" w:w="5386"/>
            <w:tcBorders>
              <w:top w:val="single" w:sz="4" w:color="BFBFBF"/>
              <w:left w:val="single" w:sz="4" w:color="BFBFBF"/>
              <w:bottom w:val="single" w:sz="4" w:color="BFBFBF"/>
              <w:right w:val="single" w:sz="4" w:color="BFBFBF"/>
            </w:tcBorders>
            <w:vAlign w:val="center"/>
            <w:shd w:val="clear" w:color="auto" w:fill="F2F2F2"/>
          </w:tcPr>
          <w:p>
            <w:r/>
            <w:r>
              <w:rPr>
                <w:sz w:val="20"/>
              </w:rPr>
              <w:t>PoC inférence edge (WebLLM dans le navigateur)</w:t>
            </w:r>
          </w:p>
        </w:tc>
        <w:tc>
          <w:tcPr>
            <w:tcW w:type="dxa" w:w="1984"/>
            <w:tcBorders>
              <w:top w:val="single" w:sz="4" w:color="BFBFBF"/>
              <w:left w:val="single" w:sz="4" w:color="BFBFBF"/>
              <w:bottom w:val="single" w:sz="4" w:color="BFBFBF"/>
              <w:right w:val="single" w:sz="4" w:color="BFBFBF"/>
            </w:tcBorders>
            <w:vAlign w:val="center"/>
            <w:shd w:val="clear" w:color="auto" w:fill="F2F2F2"/>
          </w:tcPr>
          <w:p>
            <w:r/>
            <w:r>
              <w:rPr>
                <w:sz w:val="20"/>
              </w:rPr>
              <w:t>BP22</w:t>
            </w:r>
          </w:p>
        </w:tc>
        <w:tc>
          <w:tcPr>
            <w:tcW w:type="dxa" w:w="1134"/>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Modéré</w:t>
            </w:r>
          </w:p>
        </w:tc>
      </w:tr>
    </w:tbl>
    <w:p/>
    <w:tbl>
      <w:tblPr>
        <w:tblW w:type="auto" w:w="0"/>
        <w:jc w:val="center"/>
        <w:tblLook w:firstColumn="1" w:firstRow="1" w:lastColumn="0" w:lastRow="0" w:noHBand="0" w:noVBand="1" w:val="04A0"/>
      </w:tblPr>
      <w:tblGrid>
        <w:gridCol w:w="9972"/>
      </w:tblGrid>
      <w:tr>
        <w:tc>
          <w:tcPr>
            <w:tcW w:type="dxa" w:w="9071"/>
            <w:shd w:val="clear" w:color="auto" w:fill="E2EFDA"/>
            <w:tcBorders>
              <w:top w:val="single" w:sz="4" w:color="38761D"/>
              <w:right w:val="single" w:sz="4" w:color="38761D"/>
              <w:bottom w:val="single" w:sz="4" w:color="38761D"/>
              <w:left w:val="single" w:sz="24" w:color="38761D"/>
            </w:tcBorders>
          </w:tcPr>
          <w:p>
            <w:pPr>
              <w:spacing w:after="80"/>
            </w:pPr>
            <w:r/>
            <w:r>
              <w:rPr>
                <w:b/>
                <w:sz w:val="22"/>
              </w:rPr>
              <w:t>Projection de score</w:t>
            </w:r>
          </w:p>
          <w:p>
            <w:r>
              <w:rPr>
                <w:sz w:val="20"/>
              </w:rPr>
              <w:t>Avec les 5 actions critiques de la Phase 1 (≤ 4 semaines), le score peut raisonnablement passer de 43/100 à 60–65/100 (🟡 En progression). L'intégration d'EcoLogits (Phase 2) débloque ensuite la mesure réelle, qui est la condition préalable à toute conformité 71/100+.</w:t>
            </w:r>
          </w:p>
        </w:tc>
      </w:tr>
    </w:tbl>
    <w:p/>
    <w:p>
      <w:r>
        <w:br w:type="page"/>
      </w:r>
    </w:p>
    <w:p>
      <w:pPr>
        <w:pStyle w:val="Heading1"/>
        <w:jc w:val="left"/>
      </w:pPr>
      <w:r>
        <w:rPr>
          <w:color w:val="1F4E79"/>
          <w:sz w:val="40"/>
        </w:rPr>
        <w:t>7. Référentiel AFNOR — Bonnes pratiques citées</w:t>
      </w:r>
    </w:p>
    <w:p>
      <w:pPr>
        <w:spacing w:after="120"/>
      </w:pPr>
      <w:r>
        <w:rPr>
          <w:b w:val="0"/>
          <w:i w:val="0"/>
          <w:sz w:val="22"/>
        </w:rPr>
        <w:t>Tableau de synthèse des bonnes pratiques AFNOR SPEC 2314 examinées dans cet audit et de leur statut côté Lexicon.</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850"/>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Réf.</w:t>
            </w:r>
          </w:p>
        </w:tc>
        <w:tc>
          <w:tcPr>
            <w:tcW w:type="dxa" w:w="3969"/>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Titre</w:t>
            </w:r>
          </w:p>
        </w:tc>
        <w:tc>
          <w:tcPr>
            <w:tcW w:type="dxa" w:w="1701"/>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Thématique</w:t>
            </w:r>
          </w:p>
        </w:tc>
        <w:tc>
          <w:tcPr>
            <w:tcW w:type="dxa" w:w="2551"/>
            <w:shd w:val="clear" w:color="auto" w:fill="1F4E79"/>
            <w:tcBorders>
              <w:top w:val="single" w:sz="4" w:color="BFBFBF"/>
              <w:left w:val="single" w:sz="4" w:color="BFBFBF"/>
              <w:bottom w:val="single" w:sz="4" w:color="BFBFBF"/>
              <w:right w:val="single" w:sz="4" w:color="BFBFBF"/>
            </w:tcBorders>
            <w:vAlign w:val="center"/>
          </w:tcPr>
          <w:p>
            <w:pPr>
              <w:jc w:val="center"/>
            </w:pPr>
            <w:r/>
            <w:r>
              <w:rPr>
                <w:b/>
                <w:color w:val="FFFFFF"/>
                <w:sz w:val="22"/>
              </w:rPr>
              <w:t>Statut Lexicon</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BP01</w:t>
            </w:r>
          </w:p>
        </w:tc>
        <w:tc>
          <w:tcPr>
            <w:tcW w:type="dxa" w:w="3969"/>
            <w:tcBorders>
              <w:top w:val="single" w:sz="4" w:color="BFBFBF"/>
              <w:left w:val="single" w:sz="4" w:color="BFBFBF"/>
              <w:bottom w:val="single" w:sz="4" w:color="BFBFBF"/>
              <w:right w:val="single" w:sz="4" w:color="BFBFBF"/>
            </w:tcBorders>
            <w:vAlign w:val="center"/>
          </w:tcPr>
          <w:p>
            <w:r/>
            <w:r>
              <w:rPr>
                <w:sz w:val="20"/>
              </w:rPr>
              <w:t>Méthodes d'analyse de besoin pour la frugalité</w:t>
            </w:r>
          </w:p>
        </w:tc>
        <w:tc>
          <w:tcPr>
            <w:tcW w:type="dxa" w:w="1701"/>
            <w:tcBorders>
              <w:top w:val="single" w:sz="4" w:color="BFBFBF"/>
              <w:left w:val="single" w:sz="4" w:color="BFBFBF"/>
              <w:bottom w:val="single" w:sz="4" w:color="BFBFBF"/>
              <w:right w:val="single" w:sz="4" w:color="BFBFBF"/>
            </w:tcBorders>
            <w:vAlign w:val="center"/>
          </w:tcPr>
          <w:p>
            <w:r/>
            <w:r>
              <w:rPr>
                <w:sz w:val="20"/>
              </w:rPr>
              <w:t>Pertinence IA</w:t>
            </w:r>
          </w:p>
        </w:tc>
        <w:tc>
          <w:tcPr>
            <w:tcW w:type="dxa" w:w="2551"/>
            <w:tcBorders>
              <w:top w:val="single" w:sz="4" w:color="BFBFBF"/>
              <w:left w:val="single" w:sz="4" w:color="BFBFBF"/>
              <w:bottom w:val="single" w:sz="4" w:color="BFBFBF"/>
              <w:right w:val="single" w:sz="4" w:color="BFBFBF"/>
            </w:tcBorders>
            <w:vAlign w:val="center"/>
          </w:tcPr>
          <w:p>
            <w:r/>
            <w:r>
              <w:rPr>
                <w:sz w:val="20"/>
              </w:rPr>
              <w:t>Absent côté IA</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BP02</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Choisir la solution en considérant les alternatives à l'IA</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Pertinence IA</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Excellent (cœur ETL) / Absent (stack IA)</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BP03</w:t>
            </w:r>
          </w:p>
        </w:tc>
        <w:tc>
          <w:tcPr>
            <w:tcW w:type="dxa" w:w="3969"/>
            <w:tcBorders>
              <w:top w:val="single" w:sz="4" w:color="BFBFBF"/>
              <w:left w:val="single" w:sz="4" w:color="BFBFBF"/>
              <w:bottom w:val="single" w:sz="4" w:color="BFBFBF"/>
              <w:right w:val="single" w:sz="4" w:color="BFBFBF"/>
            </w:tcBorders>
            <w:vAlign w:val="center"/>
          </w:tcPr>
          <w:p>
            <w:r/>
            <w:r>
              <w:rPr>
                <w:sz w:val="20"/>
              </w:rPr>
              <w:t>Méthodes de compression des algorithmes</w:t>
            </w:r>
          </w:p>
        </w:tc>
        <w:tc>
          <w:tcPr>
            <w:tcW w:type="dxa" w:w="1701"/>
            <w:tcBorders>
              <w:top w:val="single" w:sz="4" w:color="BFBFBF"/>
              <w:left w:val="single" w:sz="4" w:color="BFBFBF"/>
              <w:bottom w:val="single" w:sz="4" w:color="BFBFBF"/>
              <w:right w:val="single" w:sz="4" w:color="BFBFBF"/>
            </w:tcBorders>
            <w:vAlign w:val="center"/>
          </w:tcPr>
          <w:p>
            <w:r/>
            <w:r>
              <w:rPr>
                <w:sz w:val="20"/>
              </w:rPr>
              <w:t>Modèle</w:t>
            </w:r>
          </w:p>
        </w:tc>
        <w:tc>
          <w:tcPr>
            <w:tcW w:type="dxa" w:w="2551"/>
            <w:tcBorders>
              <w:top w:val="single" w:sz="4" w:color="BFBFBF"/>
              <w:left w:val="single" w:sz="4" w:color="BFBFBF"/>
              <w:bottom w:val="single" w:sz="4" w:color="BFBFBF"/>
              <w:right w:val="single" w:sz="4" w:color="BFBFBF"/>
            </w:tcBorders>
            <w:vAlign w:val="center"/>
          </w:tcPr>
          <w:p>
            <w:r/>
            <w:r>
              <w:rPr>
                <w:sz w:val="20"/>
              </w:rPr>
              <w:t>De facto via Ollama Q4</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BP04</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Définir des critères justifiant le ré-entraînement</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Modèle</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Absent</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BP05</w:t>
            </w:r>
          </w:p>
        </w:tc>
        <w:tc>
          <w:tcPr>
            <w:tcW w:type="dxa" w:w="3969"/>
            <w:tcBorders>
              <w:top w:val="single" w:sz="4" w:color="BFBFBF"/>
              <w:left w:val="single" w:sz="4" w:color="BFBFBF"/>
              <w:bottom w:val="single" w:sz="4" w:color="BFBFBF"/>
              <w:right w:val="single" w:sz="4" w:color="BFBFBF"/>
            </w:tcBorders>
            <w:vAlign w:val="center"/>
          </w:tcPr>
          <w:p>
            <w:r/>
            <w:r>
              <w:rPr>
                <w:sz w:val="20"/>
              </w:rPr>
              <w:t>Mesures d'éco-conception en développement</w:t>
            </w:r>
          </w:p>
        </w:tc>
        <w:tc>
          <w:tcPr>
            <w:tcW w:type="dxa" w:w="1701"/>
            <w:tcBorders>
              <w:top w:val="single" w:sz="4" w:color="BFBFBF"/>
              <w:left w:val="single" w:sz="4" w:color="BFBFBF"/>
              <w:bottom w:val="single" w:sz="4" w:color="BFBFBF"/>
              <w:right w:val="single" w:sz="4" w:color="BFBFBF"/>
            </w:tcBorders>
            <w:vAlign w:val="center"/>
          </w:tcPr>
          <w:p>
            <w:r/>
            <w:r>
              <w:rPr>
                <w:sz w:val="20"/>
              </w:rPr>
              <w:t>Infrastructure</w:t>
            </w:r>
          </w:p>
        </w:tc>
        <w:tc>
          <w:tcPr>
            <w:tcW w:type="dxa" w:w="2551"/>
            <w:tcBorders>
              <w:top w:val="single" w:sz="4" w:color="BFBFBF"/>
              <w:left w:val="single" w:sz="4" w:color="BFBFBF"/>
              <w:bottom w:val="single" w:sz="4" w:color="BFBFBF"/>
              <w:right w:val="single" w:sz="4" w:color="BFBFBF"/>
            </w:tcBorders>
            <w:vAlign w:val="center"/>
          </w:tcPr>
          <w:p>
            <w:r/>
            <w:r>
              <w:rPr>
                <w:sz w:val="20"/>
              </w:rPr>
              <w:t>Partiel — Docker reproductible, pas d'auto-shutdown</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BP06</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Maîtriser le volume des données</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Données</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Partiel — Flavors oui, rétention raw/ non</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BP07</w:t>
            </w:r>
          </w:p>
        </w:tc>
        <w:tc>
          <w:tcPr>
            <w:tcW w:type="dxa" w:w="3969"/>
            <w:tcBorders>
              <w:top w:val="single" w:sz="4" w:color="BFBFBF"/>
              <w:left w:val="single" w:sz="4" w:color="BFBFBF"/>
              <w:bottom w:val="single" w:sz="4" w:color="BFBFBF"/>
              <w:right w:val="single" w:sz="4" w:color="BFBFBF"/>
            </w:tcBorders>
            <w:vAlign w:val="center"/>
          </w:tcPr>
          <w:p>
            <w:r/>
            <w:r>
              <w:rPr>
                <w:sz w:val="20"/>
              </w:rPr>
              <w:t>Travailler sur la qualité des données</w:t>
            </w:r>
          </w:p>
        </w:tc>
        <w:tc>
          <w:tcPr>
            <w:tcW w:type="dxa" w:w="1701"/>
            <w:tcBorders>
              <w:top w:val="single" w:sz="4" w:color="BFBFBF"/>
              <w:left w:val="single" w:sz="4" w:color="BFBFBF"/>
              <w:bottom w:val="single" w:sz="4" w:color="BFBFBF"/>
              <w:right w:val="single" w:sz="4" w:color="BFBFBF"/>
            </w:tcBorders>
            <w:vAlign w:val="center"/>
          </w:tcPr>
          <w:p>
            <w:r/>
            <w:r>
              <w:rPr>
                <w:sz w:val="20"/>
              </w:rPr>
              <w:t>Données</w:t>
            </w:r>
          </w:p>
        </w:tc>
        <w:tc>
          <w:tcPr>
            <w:tcW w:type="dxa" w:w="2551"/>
            <w:tcBorders>
              <w:top w:val="single" w:sz="4" w:color="BFBFBF"/>
              <w:left w:val="single" w:sz="4" w:color="BFBFBF"/>
              <w:bottom w:val="single" w:sz="4" w:color="BFBFBF"/>
              <w:right w:val="single" w:sz="4" w:color="BFBFBF"/>
            </w:tcBorders>
            <w:vAlign w:val="center"/>
          </w:tcPr>
          <w:p>
            <w:r/>
            <w:r>
              <w:rPr>
                <w:sz w:val="20"/>
              </w:rPr>
              <w:t>Fort</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BP08</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Utiliser un jeu de données pertinent</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Données</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Datasets officiels</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BP09</w:t>
            </w:r>
          </w:p>
        </w:tc>
        <w:tc>
          <w:tcPr>
            <w:tcW w:type="dxa" w:w="3969"/>
            <w:tcBorders>
              <w:top w:val="single" w:sz="4" w:color="BFBFBF"/>
              <w:left w:val="single" w:sz="4" w:color="BFBFBF"/>
              <w:bottom w:val="single" w:sz="4" w:color="BFBFBF"/>
              <w:right w:val="single" w:sz="4" w:color="BFBFBF"/>
            </w:tcBorders>
            <w:vAlign w:val="center"/>
          </w:tcPr>
          <w:p>
            <w:r/>
            <w:r>
              <w:rPr>
                <w:sz w:val="20"/>
              </w:rPr>
              <w:t>Intégrer la frugalité dans la pertinence de l'IA</w:t>
            </w:r>
          </w:p>
        </w:tc>
        <w:tc>
          <w:tcPr>
            <w:tcW w:type="dxa" w:w="1701"/>
            <w:tcBorders>
              <w:top w:val="single" w:sz="4" w:color="BFBFBF"/>
              <w:left w:val="single" w:sz="4" w:color="BFBFBF"/>
              <w:bottom w:val="single" w:sz="4" w:color="BFBFBF"/>
              <w:right w:val="single" w:sz="4" w:color="BFBFBF"/>
            </w:tcBorders>
            <w:vAlign w:val="center"/>
          </w:tcPr>
          <w:p>
            <w:r/>
            <w:r>
              <w:rPr>
                <w:sz w:val="20"/>
              </w:rPr>
              <w:t>Gouvernance</w:t>
            </w:r>
          </w:p>
        </w:tc>
        <w:tc>
          <w:tcPr>
            <w:tcW w:type="dxa" w:w="2551"/>
            <w:tcBorders>
              <w:top w:val="single" w:sz="4" w:color="BFBFBF"/>
              <w:left w:val="single" w:sz="4" w:color="BFBFBF"/>
              <w:bottom w:val="single" w:sz="4" w:color="BFBFBF"/>
              <w:right w:val="single" w:sz="4" w:color="BFBFBF"/>
            </w:tcBorders>
            <w:vAlign w:val="center"/>
          </w:tcPr>
          <w:p>
            <w:r/>
            <w:r>
              <w:rPr>
                <w:sz w:val="20"/>
              </w:rPr>
              <w:t>Absent</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BP10</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Définir des règles de stockage des données</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Données</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Pas de politique</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BP11</w:t>
            </w:r>
          </w:p>
        </w:tc>
        <w:tc>
          <w:tcPr>
            <w:tcW w:type="dxa" w:w="3969"/>
            <w:tcBorders>
              <w:top w:val="single" w:sz="4" w:color="BFBFBF"/>
              <w:left w:val="single" w:sz="4" w:color="BFBFBF"/>
              <w:bottom w:val="single" w:sz="4" w:color="BFBFBF"/>
              <w:right w:val="single" w:sz="4" w:color="BFBFBF"/>
            </w:tcBorders>
            <w:vAlign w:val="center"/>
          </w:tcPr>
          <w:p>
            <w:r/>
            <w:r>
              <w:rPr>
                <w:sz w:val="20"/>
              </w:rPr>
              <w:t>Prévoir la fin de vie dans la gestion du projet IA</w:t>
            </w:r>
          </w:p>
        </w:tc>
        <w:tc>
          <w:tcPr>
            <w:tcW w:type="dxa" w:w="1701"/>
            <w:tcBorders>
              <w:top w:val="single" w:sz="4" w:color="BFBFBF"/>
              <w:left w:val="single" w:sz="4" w:color="BFBFBF"/>
              <w:bottom w:val="single" w:sz="4" w:color="BFBFBF"/>
              <w:right w:val="single" w:sz="4" w:color="BFBFBF"/>
            </w:tcBorders>
            <w:vAlign w:val="center"/>
          </w:tcPr>
          <w:p>
            <w:r/>
            <w:r>
              <w:rPr>
                <w:sz w:val="20"/>
              </w:rPr>
              <w:t>Gouvernance</w:t>
            </w:r>
          </w:p>
        </w:tc>
        <w:tc>
          <w:tcPr>
            <w:tcW w:type="dxa" w:w="2551"/>
            <w:tcBorders>
              <w:top w:val="single" w:sz="4" w:color="BFBFBF"/>
              <w:left w:val="single" w:sz="4" w:color="BFBFBF"/>
              <w:bottom w:val="single" w:sz="4" w:color="BFBFBF"/>
              <w:right w:val="single" w:sz="4" w:color="BFBFBF"/>
            </w:tcBorders>
            <w:vAlign w:val="center"/>
          </w:tcPr>
          <w:p>
            <w:r/>
            <w:r>
              <w:rPr>
                <w:sz w:val="20"/>
              </w:rPr>
              <w:t>Partiel — Versionning oui, modèles non</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BP12</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Instruire la frugalité dans chaque projet IA</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Gouvernance</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Absent</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BP14</w:t>
            </w:r>
          </w:p>
        </w:tc>
        <w:tc>
          <w:tcPr>
            <w:tcW w:type="dxa" w:w="3969"/>
            <w:tcBorders>
              <w:top w:val="single" w:sz="4" w:color="BFBFBF"/>
              <w:left w:val="single" w:sz="4" w:color="BFBFBF"/>
              <w:bottom w:val="single" w:sz="4" w:color="BFBFBF"/>
              <w:right w:val="single" w:sz="4" w:color="BFBFBF"/>
            </w:tcBorders>
            <w:vAlign w:val="center"/>
          </w:tcPr>
          <w:p>
            <w:r/>
            <w:r>
              <w:rPr>
                <w:sz w:val="20"/>
              </w:rPr>
              <w:t>Acculturer et former les parties prenantes</w:t>
            </w:r>
          </w:p>
        </w:tc>
        <w:tc>
          <w:tcPr>
            <w:tcW w:type="dxa" w:w="1701"/>
            <w:tcBorders>
              <w:top w:val="single" w:sz="4" w:color="BFBFBF"/>
              <w:left w:val="single" w:sz="4" w:color="BFBFBF"/>
              <w:bottom w:val="single" w:sz="4" w:color="BFBFBF"/>
              <w:right w:val="single" w:sz="4" w:color="BFBFBF"/>
            </w:tcBorders>
            <w:vAlign w:val="center"/>
          </w:tcPr>
          <w:p>
            <w:r/>
            <w:r>
              <w:rPr>
                <w:sz w:val="20"/>
              </w:rPr>
              <w:t>Compétences</w:t>
            </w:r>
          </w:p>
        </w:tc>
        <w:tc>
          <w:tcPr>
            <w:tcW w:type="dxa" w:w="2551"/>
            <w:tcBorders>
              <w:top w:val="single" w:sz="4" w:color="BFBFBF"/>
              <w:left w:val="single" w:sz="4" w:color="BFBFBF"/>
              <w:bottom w:val="single" w:sz="4" w:color="BFBFBF"/>
              <w:right w:val="single" w:sz="4" w:color="BFBFBF"/>
            </w:tcBorders>
            <w:vAlign w:val="center"/>
          </w:tcPr>
          <w:p>
            <w:r/>
            <w:r>
              <w:rPr>
                <w:sz w:val="20"/>
              </w:rPr>
              <w:t>Absent</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BP15</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Faire de la compression de données</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Données</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pigz, 7z</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BP19</w:t>
            </w:r>
          </w:p>
        </w:tc>
        <w:tc>
          <w:tcPr>
            <w:tcW w:type="dxa" w:w="3969"/>
            <w:tcBorders>
              <w:top w:val="single" w:sz="4" w:color="BFBFBF"/>
              <w:left w:val="single" w:sz="4" w:color="BFBFBF"/>
              <w:bottom w:val="single" w:sz="4" w:color="BFBFBF"/>
              <w:right w:val="single" w:sz="4" w:color="BFBFBF"/>
            </w:tcBorders>
            <w:vAlign w:val="center"/>
          </w:tcPr>
          <w:p>
            <w:r/>
            <w:r>
              <w:rPr>
                <w:sz w:val="20"/>
              </w:rPr>
              <w:t>Utiliser des datasets open source pour le prototypage</w:t>
            </w:r>
          </w:p>
        </w:tc>
        <w:tc>
          <w:tcPr>
            <w:tcW w:type="dxa" w:w="1701"/>
            <w:tcBorders>
              <w:top w:val="single" w:sz="4" w:color="BFBFBF"/>
              <w:left w:val="single" w:sz="4" w:color="BFBFBF"/>
              <w:bottom w:val="single" w:sz="4" w:color="BFBFBF"/>
              <w:right w:val="single" w:sz="4" w:color="BFBFBF"/>
            </w:tcBorders>
            <w:vAlign w:val="center"/>
          </w:tcPr>
          <w:p>
            <w:r/>
            <w:r>
              <w:rPr>
                <w:sz w:val="20"/>
              </w:rPr>
              <w:t>Données</w:t>
            </w:r>
          </w:p>
        </w:tc>
        <w:tc>
          <w:tcPr>
            <w:tcW w:type="dxa" w:w="2551"/>
            <w:tcBorders>
              <w:top w:val="single" w:sz="4" w:color="BFBFBF"/>
              <w:left w:val="single" w:sz="4" w:color="BFBFBF"/>
              <w:bottom w:val="single" w:sz="4" w:color="BFBFBF"/>
              <w:right w:val="single" w:sz="4" w:color="BFBFBF"/>
            </w:tcBorders>
            <w:vAlign w:val="center"/>
          </w:tcPr>
          <w:p>
            <w:r/>
            <w:r>
              <w:rPr>
                <w:sz w:val="20"/>
              </w:rPr>
              <w:t>Systématique</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BP20</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Optimiser l'usage de l'équipement existant</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Infrastructure</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Infrastructure mutualisée</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BP22</w:t>
            </w:r>
          </w:p>
        </w:tc>
        <w:tc>
          <w:tcPr>
            <w:tcW w:type="dxa" w:w="3969"/>
            <w:tcBorders>
              <w:top w:val="single" w:sz="4" w:color="BFBFBF"/>
              <w:left w:val="single" w:sz="4" w:color="BFBFBF"/>
              <w:bottom w:val="single" w:sz="4" w:color="BFBFBF"/>
              <w:right w:val="single" w:sz="4" w:color="BFBFBF"/>
            </w:tcBorders>
            <w:vAlign w:val="center"/>
          </w:tcPr>
          <w:p>
            <w:r/>
            <w:r>
              <w:rPr>
                <w:sz w:val="20"/>
              </w:rPr>
              <w:t>Favoriser les terminaux existants pour entraînement/inférence</w:t>
            </w:r>
          </w:p>
        </w:tc>
        <w:tc>
          <w:tcPr>
            <w:tcW w:type="dxa" w:w="1701"/>
            <w:tcBorders>
              <w:top w:val="single" w:sz="4" w:color="BFBFBF"/>
              <w:left w:val="single" w:sz="4" w:color="BFBFBF"/>
              <w:bottom w:val="single" w:sz="4" w:color="BFBFBF"/>
              <w:right w:val="single" w:sz="4" w:color="BFBFBF"/>
            </w:tcBorders>
            <w:vAlign w:val="center"/>
          </w:tcPr>
          <w:p>
            <w:r/>
            <w:r>
              <w:rPr>
                <w:sz w:val="20"/>
              </w:rPr>
              <w:t>Infrastructure</w:t>
            </w:r>
          </w:p>
        </w:tc>
        <w:tc>
          <w:tcPr>
            <w:tcW w:type="dxa" w:w="2551"/>
            <w:tcBorders>
              <w:top w:val="single" w:sz="4" w:color="BFBFBF"/>
              <w:left w:val="single" w:sz="4" w:color="BFBFBF"/>
              <w:bottom w:val="single" w:sz="4" w:color="BFBFBF"/>
              <w:right w:val="single" w:sz="4" w:color="BFBFBF"/>
            </w:tcBorders>
            <w:vAlign w:val="center"/>
          </w:tcPr>
          <w:p>
            <w:r/>
            <w:r>
              <w:rPr>
                <w:sz w:val="20"/>
              </w:rPr>
              <w:t>Pas d'edge</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BP23</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Réaliser une estimation de la consommation a priori</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Mesure</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Absent</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BP24</w:t>
            </w:r>
          </w:p>
        </w:tc>
        <w:tc>
          <w:tcPr>
            <w:tcW w:type="dxa" w:w="3969"/>
            <w:tcBorders>
              <w:top w:val="single" w:sz="4" w:color="BFBFBF"/>
              <w:left w:val="single" w:sz="4" w:color="BFBFBF"/>
              <w:bottom w:val="single" w:sz="4" w:color="BFBFBF"/>
              <w:right w:val="single" w:sz="4" w:color="BFBFBF"/>
            </w:tcBorders>
            <w:vAlign w:val="center"/>
          </w:tcPr>
          <w:p>
            <w:r/>
            <w:r>
              <w:rPr>
                <w:sz w:val="20"/>
              </w:rPr>
              <w:t>Assurer la frugalité des infrastructures tout au long de l'exploitation</w:t>
            </w:r>
          </w:p>
        </w:tc>
        <w:tc>
          <w:tcPr>
            <w:tcW w:type="dxa" w:w="1701"/>
            <w:tcBorders>
              <w:top w:val="single" w:sz="4" w:color="BFBFBF"/>
              <w:left w:val="single" w:sz="4" w:color="BFBFBF"/>
              <w:bottom w:val="single" w:sz="4" w:color="BFBFBF"/>
              <w:right w:val="single" w:sz="4" w:color="BFBFBF"/>
            </w:tcBorders>
            <w:vAlign w:val="center"/>
          </w:tcPr>
          <w:p>
            <w:r/>
            <w:r>
              <w:rPr>
                <w:sz w:val="20"/>
              </w:rPr>
              <w:t>Infrastructure</w:t>
            </w:r>
          </w:p>
        </w:tc>
        <w:tc>
          <w:tcPr>
            <w:tcW w:type="dxa" w:w="2551"/>
            <w:tcBorders>
              <w:top w:val="single" w:sz="4" w:color="BFBFBF"/>
              <w:left w:val="single" w:sz="4" w:color="BFBFBF"/>
              <w:bottom w:val="single" w:sz="4" w:color="BFBFBF"/>
              <w:right w:val="single" w:sz="4" w:color="BFBFBF"/>
            </w:tcBorders>
            <w:vAlign w:val="center"/>
          </w:tcPr>
          <w:p>
            <w:r/>
            <w:r>
              <w:rPr>
                <w:sz w:val="20"/>
              </w:rPr>
              <w:t>Partiel</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BP25</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Faire évoluer les stratégies de mesure</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Mesure</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Absent</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BP27</w:t>
            </w:r>
          </w:p>
        </w:tc>
        <w:tc>
          <w:tcPr>
            <w:tcW w:type="dxa" w:w="3969"/>
            <w:tcBorders>
              <w:top w:val="single" w:sz="4" w:color="BFBFBF"/>
              <w:left w:val="single" w:sz="4" w:color="BFBFBF"/>
              <w:bottom w:val="single" w:sz="4" w:color="BFBFBF"/>
              <w:right w:val="single" w:sz="4" w:color="BFBFBF"/>
            </w:tcBorders>
            <w:vAlign w:val="center"/>
          </w:tcPr>
          <w:p>
            <w:r/>
            <w:r>
              <w:rPr>
                <w:sz w:val="20"/>
              </w:rPr>
              <w:t>Rationaliser les modèles</w:t>
            </w:r>
          </w:p>
        </w:tc>
        <w:tc>
          <w:tcPr>
            <w:tcW w:type="dxa" w:w="1701"/>
            <w:tcBorders>
              <w:top w:val="single" w:sz="4" w:color="BFBFBF"/>
              <w:left w:val="single" w:sz="4" w:color="BFBFBF"/>
              <w:bottom w:val="single" w:sz="4" w:color="BFBFBF"/>
              <w:right w:val="single" w:sz="4" w:color="BFBFBF"/>
            </w:tcBorders>
            <w:vAlign w:val="center"/>
          </w:tcPr>
          <w:p>
            <w:r/>
            <w:r>
              <w:rPr>
                <w:sz w:val="20"/>
              </w:rPr>
              <w:t>Modèle</w:t>
            </w:r>
          </w:p>
        </w:tc>
        <w:tc>
          <w:tcPr>
            <w:tcW w:type="dxa" w:w="2551"/>
            <w:tcBorders>
              <w:top w:val="single" w:sz="4" w:color="BFBFBF"/>
              <w:left w:val="single" w:sz="4" w:color="BFBFBF"/>
              <w:bottom w:val="single" w:sz="4" w:color="BFBFBF"/>
              <w:right w:val="single" w:sz="4" w:color="BFBFBF"/>
            </w:tcBorders>
            <w:vAlign w:val="center"/>
          </w:tcPr>
          <w:p>
            <w:r/>
            <w:r>
              <w:rPr>
                <w:sz w:val="20"/>
              </w:rPr>
              <w:t>Pas de liste blanche</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BP28</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Décomposer un gros modèle en plusieurs petits modèles</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Modèle</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Non envisagé</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BP29</w:t>
            </w:r>
          </w:p>
        </w:tc>
        <w:tc>
          <w:tcPr>
            <w:tcW w:type="dxa" w:w="3969"/>
            <w:tcBorders>
              <w:top w:val="single" w:sz="4" w:color="BFBFBF"/>
              <w:left w:val="single" w:sz="4" w:color="BFBFBF"/>
              <w:bottom w:val="single" w:sz="4" w:color="BFBFBF"/>
              <w:right w:val="single" w:sz="4" w:color="BFBFBF"/>
            </w:tcBorders>
            <w:vAlign w:val="center"/>
          </w:tcPr>
          <w:p>
            <w:r/>
            <w:r>
              <w:rPr>
                <w:sz w:val="20"/>
              </w:rPr>
              <w:t>Réutiliser des algorithmes entraînés (OpenSource)</w:t>
            </w:r>
          </w:p>
        </w:tc>
        <w:tc>
          <w:tcPr>
            <w:tcW w:type="dxa" w:w="1701"/>
            <w:tcBorders>
              <w:top w:val="single" w:sz="4" w:color="BFBFBF"/>
              <w:left w:val="single" w:sz="4" w:color="BFBFBF"/>
              <w:bottom w:val="single" w:sz="4" w:color="BFBFBF"/>
              <w:right w:val="single" w:sz="4" w:color="BFBFBF"/>
            </w:tcBorders>
            <w:vAlign w:val="center"/>
          </w:tcPr>
          <w:p>
            <w:r/>
            <w:r>
              <w:rPr>
                <w:sz w:val="20"/>
              </w:rPr>
              <w:t>Modèle</w:t>
            </w:r>
          </w:p>
        </w:tc>
        <w:tc>
          <w:tcPr>
            <w:tcW w:type="dxa" w:w="2551"/>
            <w:tcBorders>
              <w:top w:val="single" w:sz="4" w:color="BFBFBF"/>
              <w:left w:val="single" w:sz="4" w:color="BFBFBF"/>
              <w:bottom w:val="single" w:sz="4" w:color="BFBFBF"/>
              <w:right w:val="single" w:sz="4" w:color="BFBFBF"/>
            </w:tcBorders>
            <w:vAlign w:val="center"/>
          </w:tcPr>
          <w:p>
            <w:r/>
            <w:r>
              <w:rPr>
                <w:sz w:val="20"/>
              </w:rPr>
              <w:t>Ollama = OSS</w:t>
            </w:r>
          </w:p>
        </w:tc>
      </w:tr>
      <w:tr>
        <w:tc>
          <w:tcPr>
            <w:tcW w:type="dxa" w:w="850"/>
            <w:tcBorders>
              <w:top w:val="single" w:sz="4" w:color="BFBFBF"/>
              <w:left w:val="single" w:sz="4" w:color="BFBFBF"/>
              <w:bottom w:val="single" w:sz="4" w:color="BFBFBF"/>
              <w:right w:val="single" w:sz="4" w:color="BFBFBF"/>
            </w:tcBorders>
            <w:vAlign w:val="center"/>
            <w:shd w:val="clear" w:color="auto" w:fill="F2F2F2"/>
          </w:tcPr>
          <w:p>
            <w:pPr>
              <w:jc w:val="center"/>
            </w:pPr>
            <w:r/>
            <w:r>
              <w:rPr>
                <w:sz w:val="20"/>
              </w:rPr>
              <w:t>BP30</w:t>
            </w:r>
          </w:p>
        </w:tc>
        <w:tc>
          <w:tcPr>
            <w:tcW w:type="dxa" w:w="3969"/>
            <w:tcBorders>
              <w:top w:val="single" w:sz="4" w:color="BFBFBF"/>
              <w:left w:val="single" w:sz="4" w:color="BFBFBF"/>
              <w:bottom w:val="single" w:sz="4" w:color="BFBFBF"/>
              <w:right w:val="single" w:sz="4" w:color="BFBFBF"/>
            </w:tcBorders>
            <w:vAlign w:val="center"/>
            <w:shd w:val="clear" w:color="auto" w:fill="F2F2F2"/>
          </w:tcPr>
          <w:p>
            <w:r/>
            <w:r>
              <w:rPr>
                <w:sz w:val="20"/>
              </w:rPr>
              <w:t>Privilégier des modèles plus frugaux</w:t>
            </w:r>
          </w:p>
        </w:tc>
        <w:tc>
          <w:tcPr>
            <w:tcW w:type="dxa" w:w="1701"/>
            <w:tcBorders>
              <w:top w:val="single" w:sz="4" w:color="BFBFBF"/>
              <w:left w:val="single" w:sz="4" w:color="BFBFBF"/>
              <w:bottom w:val="single" w:sz="4" w:color="BFBFBF"/>
              <w:right w:val="single" w:sz="4" w:color="BFBFBF"/>
            </w:tcBorders>
            <w:vAlign w:val="center"/>
            <w:shd w:val="clear" w:color="auto" w:fill="F2F2F2"/>
          </w:tcPr>
          <w:p>
            <w:r/>
            <w:r>
              <w:rPr>
                <w:sz w:val="20"/>
              </w:rPr>
              <w:t>Modèle</w:t>
            </w:r>
          </w:p>
        </w:tc>
        <w:tc>
          <w:tcPr>
            <w:tcW w:type="dxa" w:w="2551"/>
            <w:tcBorders>
              <w:top w:val="single" w:sz="4" w:color="BFBFBF"/>
              <w:left w:val="single" w:sz="4" w:color="BFBFBF"/>
              <w:bottom w:val="single" w:sz="4" w:color="BFBFBF"/>
              <w:right w:val="single" w:sz="4" w:color="BFBFBF"/>
            </w:tcBorders>
            <w:vAlign w:val="center"/>
            <w:shd w:val="clear" w:color="auto" w:fill="F2F2F2"/>
          </w:tcPr>
          <w:p>
            <w:r/>
            <w:r>
              <w:rPr>
                <w:sz w:val="20"/>
              </w:rPr>
              <w:t>Implicite, non documenté</w:t>
            </w:r>
          </w:p>
        </w:tc>
      </w:tr>
      <w:tr>
        <w:tc>
          <w:tcPr>
            <w:tcW w:type="dxa" w:w="850"/>
            <w:tcBorders>
              <w:top w:val="single" w:sz="4" w:color="BFBFBF"/>
              <w:left w:val="single" w:sz="4" w:color="BFBFBF"/>
              <w:bottom w:val="single" w:sz="4" w:color="BFBFBF"/>
              <w:right w:val="single" w:sz="4" w:color="BFBFBF"/>
            </w:tcBorders>
            <w:vAlign w:val="center"/>
          </w:tcPr>
          <w:p>
            <w:pPr>
              <w:jc w:val="center"/>
            </w:pPr>
            <w:r/>
            <w:r>
              <w:rPr>
                <w:sz w:val="20"/>
              </w:rPr>
              <w:t>BP31</w:t>
            </w:r>
          </w:p>
        </w:tc>
        <w:tc>
          <w:tcPr>
            <w:tcW w:type="dxa" w:w="3969"/>
            <w:tcBorders>
              <w:top w:val="single" w:sz="4" w:color="BFBFBF"/>
              <w:left w:val="single" w:sz="4" w:color="BFBFBF"/>
              <w:bottom w:val="single" w:sz="4" w:color="BFBFBF"/>
              <w:right w:val="single" w:sz="4" w:color="BFBFBF"/>
            </w:tcBorders>
            <w:vAlign w:val="center"/>
          </w:tcPr>
          <w:p>
            <w:r/>
            <w:r>
              <w:rPr>
                <w:sz w:val="20"/>
              </w:rPr>
              <w:t>A/B Testing pour identifier le meilleur ratio performance/ressources</w:t>
            </w:r>
          </w:p>
        </w:tc>
        <w:tc>
          <w:tcPr>
            <w:tcW w:type="dxa" w:w="1701"/>
            <w:tcBorders>
              <w:top w:val="single" w:sz="4" w:color="BFBFBF"/>
              <w:left w:val="single" w:sz="4" w:color="BFBFBF"/>
              <w:bottom w:val="single" w:sz="4" w:color="BFBFBF"/>
              <w:right w:val="single" w:sz="4" w:color="BFBFBF"/>
            </w:tcBorders>
            <w:vAlign w:val="center"/>
          </w:tcPr>
          <w:p>
            <w:r/>
            <w:r>
              <w:rPr>
                <w:sz w:val="20"/>
              </w:rPr>
              <w:t>Modèle</w:t>
            </w:r>
          </w:p>
        </w:tc>
        <w:tc>
          <w:tcPr>
            <w:tcW w:type="dxa" w:w="2551"/>
            <w:tcBorders>
              <w:top w:val="single" w:sz="4" w:color="BFBFBF"/>
              <w:left w:val="single" w:sz="4" w:color="BFBFBF"/>
              <w:bottom w:val="single" w:sz="4" w:color="BFBFBF"/>
              <w:right w:val="single" w:sz="4" w:color="BFBFBF"/>
            </w:tcBorders>
            <w:vAlign w:val="center"/>
          </w:tcPr>
          <w:p>
            <w:r/>
            <w:r>
              <w:rPr>
                <w:sz w:val="20"/>
              </w:rPr>
              <w:t>Absent</w:t>
            </w:r>
          </w:p>
        </w:tc>
      </w:tr>
    </w:tbl>
    <w:p>
      <w:r>
        <w:br w:type="page"/>
      </w:r>
    </w:p>
    <w:p>
      <w:pPr>
        <w:pStyle w:val="Heading1"/>
        <w:jc w:val="left"/>
      </w:pPr>
      <w:r>
        <w:rPr>
          <w:color w:val="1F4E79"/>
          <w:sz w:val="40"/>
        </w:rPr>
        <w:t>8. Avertissement méthodologique</w:t>
      </w:r>
    </w:p>
    <w:p>
      <w:pPr>
        <w:spacing w:after="160"/>
      </w:pPr>
      <w:r>
        <w:rPr>
          <w:b w:val="0"/>
          <w:i w:val="0"/>
          <w:sz w:val="22"/>
        </w:rPr>
        <w:t>Cet audit est basé sur l'analyse statique du code et de l'architecture présents dans le dépôt (/home/djoulin/projects/lexicon, branche main à 9f7082a, version 6.0.2). Une évaluation quantitative complète (ACV multicritère selon ISO 14040, mesure réelle de consommation en heure de pointe vs heures creuses) nécessite des outils dédiés (CodeCarbon, EcoLogits, Scaphandre, Green Algorithms) et une campagne de mesure en conditions réelles, conformément à la section 2.1.4 de l'AFNOR SPEC 2314.</w:t>
      </w:r>
    </w:p>
    <w:p>
      <w:pPr>
        <w:spacing w:after="160"/>
      </w:pPr>
      <w:r>
        <w:rPr>
          <w:b w:val="0"/>
          <w:i w:val="0"/>
          <w:sz w:val="22"/>
        </w:rPr>
        <w:t>Le score de 43/100 doit être lu comme un indicateur de maturité documentaire et opérationnelle, pas comme un bilan environnemental. Le cœur ETL de Lexicon, par son choix de non-IA volontaire, est un cas d'école positif au regard du BP02 ; c'est essentiellement l'absence de cadrage et de mesure de la stack IA co-déployée (Ollama + OpenWebUI) qui tire le score vers le bas.</w:t>
      </w:r>
    </w:p>
    <w:tbl>
      <w:tblPr>
        <w:tblW w:type="auto" w:w="0"/>
        <w:jc w:val="center"/>
        <w:tblLook w:firstColumn="1" w:firstRow="1" w:lastColumn="0" w:lastRow="0" w:noHBand="0" w:noVBand="1" w:val="04A0"/>
      </w:tblPr>
      <w:tblGrid>
        <w:gridCol w:w="9972"/>
      </w:tblGrid>
      <w:tr>
        <w:tc>
          <w:tcPr>
            <w:tcW w:type="dxa" w:w="9071"/>
            <w:shd w:val="clear" w:color="auto" w:fill="DEEBF7"/>
            <w:tcBorders>
              <w:top w:val="single" w:sz="4" w:color="1F4E79"/>
              <w:right w:val="single" w:sz="4" w:color="1F4E79"/>
              <w:bottom w:val="single" w:sz="4" w:color="1F4E79"/>
              <w:left w:val="single" w:sz="24" w:color="1F4E79"/>
            </w:tcBorders>
          </w:tcPr>
          <w:p>
            <w:pPr>
              <w:spacing w:after="80"/>
            </w:pPr>
            <w:r/>
            <w:r>
              <w:rPr>
                <w:b/>
                <w:sz w:val="22"/>
              </w:rPr>
              <w:t>Verdict synthétique</w:t>
            </w:r>
          </w:p>
          <w:p>
            <w:r>
              <w:rPr>
                <w:sz w:val="20"/>
              </w:rPr>
              <w:t>Lexicon coche la case la plus difficile du référentiel — avoir résisté à mettre de l'IA là où elle n'apporte rien — mais doit maintenant formaliser et mesurer ce qui est déployé à côté. Avec les 4 actions critiques de la Phase 1 (≤ 4 semaines), le score peut raisonnablement atteindre 60-65/100 (En progression).</w:t>
            </w:r>
          </w:p>
        </w:tc>
      </w:tr>
    </w:tbl>
    <w:p/>
    <w:p/>
    <w:p>
      <w:pPr>
        <w:pBdr>
          <w:bottom w:val="single" w:sz="6" w:space="1" w:color="BFBFBF"/>
        </w:pBdr>
      </w:pPr>
    </w:p>
    <w:p>
      <w:pPr>
        <w:jc w:val="center"/>
      </w:pPr>
      <w:r>
        <w:rPr>
          <w:i/>
          <w:color w:val="4A4A4A"/>
          <w:sz w:val="20"/>
        </w:rPr>
        <w:t>— Fin du rapport —</w:t>
      </w:r>
    </w:p>
    <w:p>
      <w:pPr>
        <w:jc w:val="center"/>
      </w:pPr>
      <w:r>
        <w:rPr>
          <w:i/>
          <w:color w:val="4A4A4A"/>
          <w:sz w:val="18"/>
        </w:rPr>
        <w:t>Rapport généré automatiquement le 27/05/2026 selon le référentiel AFNOR SPEC 2314 (juin 2024).</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