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2E5395"/>
          <w:sz w:val="22"/>
          <w:szCs w:val="22"/>
        </w:rPr>
        <w:t xml:space="preserve">INGENIERÍA DE SOFTWARE II</w:t>
      </w:r>
    </w:p>
    <w:p>
      <w:pPr>
        <w:spacing w:after="100"/>
      </w:pPr>
      <w:r>
        <w:rPr>
          <w:rFonts w:ascii="Calibri" w:cs="Calibri" w:eastAsia="Calibri" w:hAnsi="Calibri"/>
          <w:b/>
          <w:bCs/>
          <w:color w:val="1F3864"/>
          <w:sz w:val="44"/>
          <w:szCs w:val="44"/>
        </w:rPr>
        <w:t xml:space="preserve">Enunciado del Proyecto de Aula</w:t>
      </w:r>
    </w:p>
    <w:p>
      <w:pPr>
        <w:spacing w:after="400"/>
      </w:pPr>
      <w:r>
        <w:rPr>
          <w:rFonts w:ascii="Calibri" w:cs="Calibri" w:eastAsia="Calibri" w:hAnsi="Calibri"/>
          <w:b/>
          <w:bCs/>
          <w:color w:val="2E5395"/>
          <w:sz w:val="28"/>
          <w:szCs w:val="28"/>
        </w:rPr>
        <w:t xml:space="preserve">Sistema de Gestión de Inventarios basado en Arquitectura de Microservicios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DCE6F1" w:val="clear"/>
            <w:tcMar>
              <w:top w:type="dxa" w:w="80"/>
              <w:left w:type="dxa" w:w="100"/>
              <w:bottom w:type="dxa" w:w="80"/>
              <w:right w:type="dxa" w:w="100"/>
            </w:tcMar>
            <w:vAlign w:val="center"/>
          </w:tcPr>
          <w:p>
            <w:pPr>
              <w:jc w:val="both"/>
            </w:pPr>
            <w:r>
              <w:rPr>
                <w:rFonts w:ascii="Calibri" w:cs="Calibri" w:eastAsia="Calibri" w:hAnsi="Calibri"/>
                <w:b/>
                <w:bCs/>
                <w:color w:val="000000"/>
                <w:sz w:val="19"/>
                <w:szCs w:val="19"/>
              </w:rPr>
              <w:t xml:space="preserve">Metodología</w:t>
            </w:r>
          </w:p>
        </w:tc>
        <w:tc>
          <w:tcPr>
            <w:tcW w:type="dxa" w:w="788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Aprendizaje Basado en Proyectos (ABP)</w:t>
            </w:r>
          </w:p>
        </w:tc>
      </w:tr>
      <w:tr>
        <w:tc>
          <w:tcPr>
            <w:tcW w:type="dxa" w:w="2200"/>
            <w:shd w:fill="DCE6F1" w:val="clear"/>
            <w:tcMar>
              <w:top w:type="dxa" w:w="80"/>
              <w:left w:type="dxa" w:w="100"/>
              <w:bottom w:type="dxa" w:w="80"/>
              <w:right w:type="dxa" w:w="100"/>
            </w:tcMar>
            <w:vAlign w:val="center"/>
          </w:tcPr>
          <w:p>
            <w:pPr>
              <w:jc w:val="both"/>
            </w:pPr>
            <w:r>
              <w:rPr>
                <w:rFonts w:ascii="Calibri" w:cs="Calibri" w:eastAsia="Calibri" w:hAnsi="Calibri"/>
                <w:b/>
                <w:bCs/>
                <w:color w:val="000000"/>
                <w:sz w:val="19"/>
                <w:szCs w:val="19"/>
              </w:rPr>
              <w:t xml:space="preserve">Modalidad</w:t>
            </w:r>
          </w:p>
        </w:tc>
        <w:tc>
          <w:tcPr>
            <w:tcW w:type="dxa" w:w="788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Trabajo en equipo, con sustentación obligatoria en cada entrega</w:t>
            </w:r>
          </w:p>
        </w:tc>
      </w:tr>
      <w:tr>
        <w:tc>
          <w:tcPr>
            <w:tcW w:type="dxa" w:w="2200"/>
            <w:shd w:fill="DCE6F1" w:val="clear"/>
            <w:tcMar>
              <w:top w:type="dxa" w:w="80"/>
              <w:left w:type="dxa" w:w="100"/>
              <w:bottom w:type="dxa" w:w="80"/>
              <w:right w:type="dxa" w:w="100"/>
            </w:tcMar>
            <w:vAlign w:val="center"/>
          </w:tcPr>
          <w:p>
            <w:pPr>
              <w:jc w:val="both"/>
            </w:pPr>
            <w:r>
              <w:rPr>
                <w:rFonts w:ascii="Calibri" w:cs="Calibri" w:eastAsia="Calibri" w:hAnsi="Calibri"/>
                <w:b/>
                <w:bCs/>
                <w:color w:val="000000"/>
                <w:sz w:val="19"/>
                <w:szCs w:val="19"/>
              </w:rPr>
              <w:t xml:space="preserve">Periodo</w:t>
            </w:r>
          </w:p>
        </w:tc>
        <w:tc>
          <w:tcPr>
            <w:tcW w:type="dxa" w:w="788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28 de septiembre – 12 de diciembre</w:t>
            </w:r>
          </w:p>
        </w:tc>
      </w:tr>
      <w:tr>
        <w:tc>
          <w:tcPr>
            <w:tcW w:type="dxa" w:w="2200"/>
            <w:shd w:fill="DCE6F1" w:val="clear"/>
            <w:tcMar>
              <w:top w:type="dxa" w:w="80"/>
              <w:left w:type="dxa" w:w="100"/>
              <w:bottom w:type="dxa" w:w="80"/>
              <w:right w:type="dxa" w:w="100"/>
            </w:tcMar>
            <w:vAlign w:val="center"/>
          </w:tcPr>
          <w:p>
            <w:pPr>
              <w:jc w:val="both"/>
            </w:pPr>
            <w:r>
              <w:rPr>
                <w:rFonts w:ascii="Calibri" w:cs="Calibri" w:eastAsia="Calibri" w:hAnsi="Calibri"/>
                <w:b/>
                <w:bCs/>
                <w:color w:val="000000"/>
                <w:sz w:val="19"/>
                <w:szCs w:val="19"/>
              </w:rPr>
              <w:t xml:space="preserve">Uso de IA</w:t>
            </w:r>
          </w:p>
        </w:tc>
        <w:tc>
          <w:tcPr>
            <w:tcW w:type="dxa" w:w="788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Obligatorio, documentado mediante bitácoras de uso</w:t>
            </w:r>
          </w:p>
        </w:tc>
      </w:tr>
    </w:tbl>
    <w:p>
      <w:pPr>
        <w:spacing w:before="400"/>
      </w:pPr>
    </w:p>
    <w:p>
      <w:pPr>
        <w:pStyle w:val="Heading1"/>
        <w:pBdr>
          <w:bottom w:val="single" w:color="1F3864" w:sz="8" w:space="4"/>
        </w:pBdr>
        <w:spacing w:after="160" w:before="360"/>
      </w:pPr>
      <w:r>
        <w:rPr>
          <w:rFonts w:ascii="Calibri" w:cs="Calibri" w:eastAsia="Calibri" w:hAnsi="Calibri"/>
          <w:b/>
          <w:bCs/>
          <w:color w:val="1F3864"/>
          <w:sz w:val="30"/>
          <w:szCs w:val="30"/>
        </w:rPr>
        <w:t xml:space="preserve">1. Presentación</w:t>
      </w:r>
    </w:p>
    <w:p>
      <w:pPr>
        <w:spacing w:after="160" w:line="300"/>
        <w:jc w:val="both"/>
      </w:pPr>
      <w:r>
        <w:rPr>
          <w:rFonts w:ascii="Calibri" w:cs="Calibri" w:eastAsia="Calibri" w:hAnsi="Calibri"/>
          <w:sz w:val="21"/>
          <w:szCs w:val="21"/>
        </w:rPr>
        <w:t xml:space="preserve">El presente documento constituye el enunciado oficial del proyecto de aula del curso de Ingeniería de Software II, desarrollado bajo la metodología de Aprendizaje Basado en Proyectos (ABP). Bajo esta metodología, los estudiantes construyen conocimiento y competencias profesionales al enfrentarse a un problema real de ingeniería, que deben resolver de forma progresiva, documentada y sustentada a lo largo del semestre.</w:t>
      </w:r>
    </w:p>
    <w:p>
      <w:pPr>
        <w:spacing w:after="160" w:line="300"/>
        <w:jc w:val="both"/>
      </w:pPr>
      <w:r>
        <w:rPr>
          <w:rFonts w:ascii="Calibri" w:cs="Calibri" w:eastAsia="Calibri" w:hAnsi="Calibri"/>
          <w:sz w:val="21"/>
          <w:szCs w:val="21"/>
        </w:rPr>
        <w:t xml:space="preserve">El proyecto exige investigar el estado del arte, tomar y justificar decisiones de arquitectura, implementar una solución funcional basada en microservicios, evaluar su rendimiento, y contenerizarla siguiendo buenas prácticas de la industria. De manera transversal, el uso de herramientas de inteligencia artificial (IA) generativa es obligatorio durante todo el proceso, y su uso deberá quedar documentado y sustentado mediante bitácoras.</w:t>
      </w:r>
    </w:p>
    <w:p>
      <w:pPr>
        <w:pStyle w:val="Heading1"/>
        <w:pBdr>
          <w:bottom w:val="single" w:color="1F3864" w:sz="8" w:space="4"/>
        </w:pBdr>
        <w:spacing w:after="160" w:before="360"/>
      </w:pPr>
      <w:r>
        <w:rPr>
          <w:rFonts w:ascii="Calibri" w:cs="Calibri" w:eastAsia="Calibri" w:hAnsi="Calibri"/>
          <w:b/>
          <w:bCs/>
          <w:color w:val="1F3864"/>
          <w:sz w:val="30"/>
          <w:szCs w:val="30"/>
        </w:rPr>
        <w:t xml:space="preserve">2. Metodología: Aprendizaje Basado en Proyectos (ABP)</w:t>
      </w:r>
    </w:p>
    <w:p>
      <w:pPr>
        <w:spacing w:after="160" w:line="300"/>
        <w:jc w:val="both"/>
      </w:pPr>
      <w:r>
        <w:rPr>
          <w:rFonts w:ascii="Calibri" w:cs="Calibri" w:eastAsia="Calibri" w:hAnsi="Calibri"/>
          <w:sz w:val="21"/>
          <w:szCs w:val="21"/>
        </w:rPr>
        <w:t xml:space="preserve">El curso se desarrolla siguiendo el ciclo propio del ABP: (1) planteamiento de un problema auténtico, (2) investigación guiada, (3) diseño de una solución, (4) desarrollo iterativo del producto, (5) validación mediante pruebas, y (6) comunicación de resultados mediante sustentaciones. Cada una de las cuatro entregas del proyecto corresponde a un hito de este ciclo, y de la calidad del proceso —no solo del producto final— se deriva la calificación.</w:t>
      </w:r>
    </w:p>
    <w:p>
      <w:pPr>
        <w:spacing w:after="160" w:line="300"/>
        <w:jc w:val="both"/>
      </w:pPr>
      <w:r>
        <w:rPr>
          <w:rFonts w:ascii="Calibri" w:cs="Calibri" w:eastAsia="Calibri" w:hAnsi="Calibri"/>
          <w:sz w:val="21"/>
          <w:szCs w:val="21"/>
        </w:rPr>
        <w:t xml:space="preserve">Cada entrega debe ser sustentada oralmente por el equipo ante el docente. La sustentación es un componente obligatorio y evaluable: no se calificará ninguna entrega que no haya sido sustentada.</w:t>
      </w:r>
    </w:p>
    <w:p>
      <w:pPr>
        <w:pStyle w:val="Heading1"/>
        <w:pBdr>
          <w:bottom w:val="single" w:color="1F3864" w:sz="8" w:space="4"/>
        </w:pBdr>
        <w:spacing w:after="160" w:before="360"/>
      </w:pPr>
      <w:r>
        <w:rPr>
          <w:rFonts w:ascii="Calibri" w:cs="Calibri" w:eastAsia="Calibri" w:hAnsi="Calibri"/>
          <w:b/>
          <w:bCs/>
          <w:color w:val="1F3864"/>
          <w:sz w:val="30"/>
          <w:szCs w:val="30"/>
        </w:rPr>
        <w:t xml:space="preserve">3. Objetivos</w:t>
      </w:r>
    </w:p>
    <w:p>
      <w:pPr>
        <w:pStyle w:val="Heading3"/>
        <w:spacing w:after="100" w:before="200"/>
      </w:pPr>
      <w:r>
        <w:rPr>
          <w:rFonts w:ascii="Calibri" w:cs="Calibri" w:eastAsia="Calibri" w:hAnsi="Calibri"/>
          <w:b/>
          <w:bCs/>
          <w:color w:val="1F3864"/>
          <w:sz w:val="22"/>
          <w:szCs w:val="22"/>
        </w:rPr>
        <w:t xml:space="preserve">3.1 Objetivo general</w:t>
      </w:r>
    </w:p>
    <w:p>
      <w:pPr>
        <w:spacing w:after="160" w:line="300"/>
        <w:jc w:val="both"/>
      </w:pPr>
      <w:r>
        <w:rPr>
          <w:rFonts w:ascii="Calibri" w:cs="Calibri" w:eastAsia="Calibri" w:hAnsi="Calibri"/>
          <w:sz w:val="21"/>
          <w:szCs w:val="21"/>
        </w:rPr>
        <w:t xml:space="preserve">Diseñar, implementar y evaluar un sistema de gestión de inventarios para una empresa, utilizando una arquitectura de microservicios debidamente justificada, contenerizado y sometido a pruebas de rendimiento, apoyándose de manera documentada en herramientas de inteligencia artificial durante todo el proceso de desarrollo.</w:t>
      </w:r>
    </w:p>
    <w:p>
      <w:pPr>
        <w:pStyle w:val="Heading3"/>
        <w:spacing w:after="100" w:before="200"/>
      </w:pPr>
      <w:r>
        <w:rPr>
          <w:rFonts w:ascii="Calibri" w:cs="Calibri" w:eastAsia="Calibri" w:hAnsi="Calibri"/>
          <w:b/>
          <w:bCs/>
          <w:color w:val="1F3864"/>
          <w:sz w:val="22"/>
          <w:szCs w:val="22"/>
        </w:rPr>
        <w:t xml:space="preserve">3.2 Objetivos específicos</w:t>
      </w:r>
    </w:p>
    <w:p>
      <w:pPr>
        <w:pStyle w:val="ListParagraph"/>
        <w:numPr>
          <w:ilvl w:val="0"/>
          <w:numId w:val="2"/>
        </w:numPr>
        <w:spacing w:after="90" w:line="280"/>
        <w:jc w:val="both"/>
      </w:pPr>
      <w:r>
        <w:rPr>
          <w:rFonts w:ascii="Calibri" w:cs="Calibri" w:eastAsia="Calibri" w:hAnsi="Calibri"/>
          <w:sz w:val="21"/>
          <w:szCs w:val="21"/>
        </w:rPr>
        <w:t xml:space="preserve">Investigar y analizar sistemas de gestión de inventarios existentes en el mercado, identificando funcionalidades comunes, fortalezas y oportunidades de mejora.</w:t>
      </w:r>
    </w:p>
    <w:p>
      <w:pPr>
        <w:pStyle w:val="ListParagraph"/>
        <w:numPr>
          <w:ilvl w:val="0"/>
          <w:numId w:val="2"/>
        </w:numPr>
        <w:spacing w:after="90" w:line="280"/>
        <w:jc w:val="both"/>
      </w:pPr>
      <w:r>
        <w:rPr>
          <w:rFonts w:ascii="Calibri" w:cs="Calibri" w:eastAsia="Calibri" w:hAnsi="Calibri"/>
          <w:sz w:val="21"/>
          <w:szCs w:val="21"/>
        </w:rPr>
        <w:t xml:space="preserve">Justificar, con criterios técnicos, la conveniencia de una arquitectura de microservicios frente a una arquitectura monolítica para el problema planteado.</w:t>
      </w:r>
    </w:p>
    <w:p>
      <w:pPr>
        <w:pStyle w:val="ListParagraph"/>
        <w:numPr>
          <w:ilvl w:val="0"/>
          <w:numId w:val="2"/>
        </w:numPr>
        <w:spacing w:after="90" w:line="280"/>
        <w:jc w:val="both"/>
      </w:pPr>
      <w:r>
        <w:rPr>
          <w:rFonts w:ascii="Calibri" w:cs="Calibri" w:eastAsia="Calibri" w:hAnsi="Calibri"/>
          <w:sz w:val="21"/>
          <w:szCs w:val="21"/>
        </w:rPr>
        <w:t xml:space="preserve">Diseñar e implementar los microservicios que componen el sistema, incluyendo sus contratos de API y modelos de datos.</w:t>
      </w:r>
    </w:p>
    <w:p>
      <w:pPr>
        <w:pStyle w:val="ListParagraph"/>
        <w:numPr>
          <w:ilvl w:val="0"/>
          <w:numId w:val="2"/>
        </w:numPr>
        <w:spacing w:after="90" w:line="280"/>
        <w:jc w:val="both"/>
      </w:pPr>
      <w:r>
        <w:rPr>
          <w:rFonts w:ascii="Calibri" w:cs="Calibri" w:eastAsia="Calibri" w:hAnsi="Calibri"/>
          <w:sz w:val="21"/>
          <w:szCs w:val="21"/>
        </w:rPr>
        <w:t xml:space="preserve">Contenerizar cada microservicio y gestionar su despliegue mediante herramientas de orquestación de contenedores.</w:t>
      </w:r>
    </w:p>
    <w:p>
      <w:pPr>
        <w:pStyle w:val="ListParagraph"/>
        <w:numPr>
          <w:ilvl w:val="0"/>
          <w:numId w:val="2"/>
        </w:numPr>
        <w:spacing w:after="90" w:line="280"/>
        <w:jc w:val="both"/>
      </w:pPr>
      <w:r>
        <w:rPr>
          <w:rFonts w:ascii="Calibri" w:cs="Calibri" w:eastAsia="Calibri" w:hAnsi="Calibri"/>
          <w:sz w:val="21"/>
          <w:szCs w:val="21"/>
        </w:rPr>
        <w:t xml:space="preserve">Diseñar y ejecutar pruebas de rendimiento sobre el sistema implementado, analizando e interpretando sus resultados.</w:t>
      </w:r>
    </w:p>
    <w:p>
      <w:pPr>
        <w:pStyle w:val="ListParagraph"/>
        <w:numPr>
          <w:ilvl w:val="0"/>
          <w:numId w:val="2"/>
        </w:numPr>
        <w:spacing w:after="90" w:line="280"/>
        <w:jc w:val="both"/>
      </w:pPr>
      <w:r>
        <w:rPr>
          <w:rFonts w:ascii="Calibri" w:cs="Calibri" w:eastAsia="Calibri" w:hAnsi="Calibri"/>
          <w:sz w:val="21"/>
          <w:szCs w:val="21"/>
        </w:rPr>
        <w:t xml:space="preserve">Documentar de forma crítica y reflexiva el uso de herramientas de inteligencia artificial durante el desarrollo del proyecto.</w:t>
      </w:r>
    </w:p>
    <w:p>
      <w:pPr>
        <w:pStyle w:val="Heading1"/>
        <w:pBdr>
          <w:bottom w:val="single" w:color="1F3864" w:sz="8" w:space="4"/>
        </w:pBdr>
        <w:spacing w:after="160" w:before="360"/>
      </w:pPr>
      <w:r>
        <w:rPr>
          <w:rFonts w:ascii="Calibri" w:cs="Calibri" w:eastAsia="Calibri" w:hAnsi="Calibri"/>
          <w:b/>
          <w:bCs/>
          <w:color w:val="1F3864"/>
          <w:sz w:val="30"/>
          <w:szCs w:val="30"/>
        </w:rPr>
        <w:t xml:space="preserve">4. Enunciado del proyecto</w:t>
      </w:r>
    </w:p>
    <w:p>
      <w:pPr>
        <w:spacing w:after="160" w:line="300"/>
        <w:jc w:val="both"/>
      </w:pPr>
      <w:r>
        <w:rPr>
          <w:rFonts w:ascii="Calibri" w:cs="Calibri" w:eastAsia="Calibri" w:hAnsi="Calibri"/>
          <w:sz w:val="21"/>
          <w:szCs w:val="21"/>
        </w:rPr>
        <w:t xml:space="preserve">Una empresa (real o ficticia, definida y justificada por cada equipo) requiere modernizar el control de su inventario, actualmente gestionado de forma manual o mediante herramientas obsoletas (hojas de cálculo, sistemas de escritorio aislados, etc.). El equipo de desarrollo —conformado por los estudiantes— actúa como proveedor de software encargado de investigar, diseñar, construir y validar un sistema de gestión de inventarios moderno, escalable y mantenible.</w:t>
      </w:r>
    </w:p>
    <w:p>
      <w:pPr>
        <w:spacing w:after="160" w:line="300"/>
        <w:jc w:val="both"/>
      </w:pPr>
      <w:r>
        <w:rPr>
          <w:rFonts w:ascii="Calibri" w:cs="Calibri" w:eastAsia="Calibri" w:hAnsi="Calibri"/>
          <w:sz w:val="21"/>
          <w:szCs w:val="21"/>
        </w:rPr>
        <w:t xml:space="preserve">El sistema deberá construirse siguiendo una arquitectura de microservicios, es decir, deberá estar compuesto por varios servicios independientes, débilmente acoplados, cada uno responsable de un dominio de negocio específico (por ejemplo: productos, inventario/stock, proveedores, órdenes de compra, usuarios, notificaciones o reportes), que se comunican entre sí mediante API bien definidas y que pueden desplegarse, escalarse y desarrollarse de forma independiente.</w:t>
      </w:r>
    </w:p>
    <w:p>
      <w:pPr>
        <w:spacing w:after="160" w:line="300"/>
        <w:jc w:val="both"/>
      </w:pPr>
      <w:r>
        <w:rPr>
          <w:rFonts w:ascii="Calibri" w:cs="Calibri" w:eastAsia="Calibri" w:hAnsi="Calibri"/>
          <w:sz w:val="21"/>
          <w:szCs w:val="21"/>
        </w:rPr>
        <w:t xml:space="preserve">Antes de implementar una sola línea de código, cada equipo deberá investigar sistemas similares existentes en el mercado y argumentar, con criterios técnicos (escalabilidad, mantenibilidad, despliegue independiente, tolerancia a fallos, equipos de trabajo, entre otros), por qué la arquitectura de microservicios resulta más adecuada que una arquitectura monolítica para este problema particular.</w:t>
      </w:r>
    </w:p>
    <w:p>
      <w:pPr>
        <w:pStyle w:val="Heading1"/>
        <w:pBdr>
          <w:bottom w:val="single" w:color="1F3864" w:sz="8" w:space="4"/>
        </w:pBdr>
        <w:spacing w:after="160" w:before="360"/>
      </w:pPr>
      <w:r>
        <w:rPr>
          <w:rFonts w:ascii="Calibri" w:cs="Calibri" w:eastAsia="Calibri" w:hAnsi="Calibri"/>
          <w:b/>
          <w:bCs/>
          <w:color w:val="1F3864"/>
          <w:sz w:val="30"/>
          <w:szCs w:val="30"/>
        </w:rPr>
        <w:t xml:space="preserve">5. Fases y alcance técnico del proyecto</w:t>
      </w:r>
    </w:p>
    <w:p>
      <w:pPr>
        <w:pStyle w:val="Heading3"/>
        <w:spacing w:after="100" w:before="200"/>
      </w:pPr>
      <w:r>
        <w:rPr>
          <w:rFonts w:ascii="Calibri" w:cs="Calibri" w:eastAsia="Calibri" w:hAnsi="Calibri"/>
          <w:b/>
          <w:bCs/>
          <w:color w:val="1F3864"/>
          <w:sz w:val="22"/>
          <w:szCs w:val="22"/>
        </w:rPr>
        <w:t xml:space="preserve">5.1 Investigación de sistemas similares</w:t>
      </w:r>
    </w:p>
    <w:p>
      <w:pPr>
        <w:pStyle w:val="ListParagraph"/>
        <w:numPr>
          <w:ilvl w:val="0"/>
          <w:numId w:val="3"/>
        </w:numPr>
        <w:spacing w:after="90" w:line="280"/>
        <w:jc w:val="both"/>
      </w:pPr>
      <w:r>
        <w:rPr>
          <w:rFonts w:ascii="Calibri" w:cs="Calibri" w:eastAsia="Calibri" w:hAnsi="Calibri"/>
          <w:b w:val="false"/>
          <w:bCs w:val="false"/>
          <w:sz w:val="21"/>
          <w:szCs w:val="21"/>
        </w:rPr>
        <w:t xml:space="preserve">Identificar y analizar como mínimo tres (3) sistemas de gestión de inventarios existentes (comerciales, de código abierto o corporativos).</w:t>
      </w:r>
    </w:p>
    <w:p>
      <w:pPr>
        <w:pStyle w:val="ListParagraph"/>
        <w:numPr>
          <w:ilvl w:val="0"/>
          <w:numId w:val="3"/>
        </w:numPr>
        <w:spacing w:after="90" w:line="280"/>
        <w:jc w:val="both"/>
      </w:pPr>
      <w:r>
        <w:rPr>
          <w:rFonts w:ascii="Calibri" w:cs="Calibri" w:eastAsia="Calibri" w:hAnsi="Calibri"/>
          <w:b w:val="false"/>
          <w:bCs w:val="false"/>
          <w:sz w:val="21"/>
          <w:szCs w:val="21"/>
        </w:rPr>
        <w:t xml:space="preserve">Elaborar un cuadro comparativo de funcionalidades, arquitectura (cuando sea posible identificarla) y experiencia de usuario.</w:t>
      </w:r>
    </w:p>
    <w:p>
      <w:pPr>
        <w:pStyle w:val="ListParagraph"/>
        <w:numPr>
          <w:ilvl w:val="0"/>
          <w:numId w:val="3"/>
        </w:numPr>
        <w:spacing w:after="90" w:line="280"/>
        <w:jc w:val="both"/>
      </w:pPr>
      <w:r>
        <w:rPr>
          <w:rFonts w:ascii="Calibri" w:cs="Calibri" w:eastAsia="Calibri" w:hAnsi="Calibri"/>
          <w:b w:val="false"/>
          <w:bCs w:val="false"/>
          <w:sz w:val="21"/>
          <w:szCs w:val="21"/>
        </w:rPr>
        <w:t xml:space="preserve">Extraer conclusiones que alimenten la definición del alcance del sistema propio.</w:t>
      </w:r>
    </w:p>
    <w:p>
      <w:pPr>
        <w:pStyle w:val="Heading3"/>
        <w:spacing w:after="100" w:before="200"/>
      </w:pPr>
      <w:r>
        <w:rPr>
          <w:rFonts w:ascii="Calibri" w:cs="Calibri" w:eastAsia="Calibri" w:hAnsi="Calibri"/>
          <w:b/>
          <w:bCs/>
          <w:color w:val="1F3864"/>
          <w:sz w:val="22"/>
          <w:szCs w:val="22"/>
        </w:rPr>
        <w:t xml:space="preserve">5.2 Justificación de la arquitectura de microservicios</w:t>
      </w:r>
    </w:p>
    <w:p>
      <w:pPr>
        <w:pStyle w:val="ListParagraph"/>
        <w:numPr>
          <w:ilvl w:val="0"/>
          <w:numId w:val="3"/>
        </w:numPr>
        <w:spacing w:after="90" w:line="280"/>
        <w:jc w:val="both"/>
      </w:pPr>
      <w:r>
        <w:rPr>
          <w:rFonts w:ascii="Calibri" w:cs="Calibri" w:eastAsia="Calibri" w:hAnsi="Calibri"/>
          <w:b w:val="false"/>
          <w:bCs w:val="false"/>
          <w:sz w:val="21"/>
          <w:szCs w:val="21"/>
        </w:rPr>
        <w:t xml:space="preserve">Comparar arquitectura monolítica vs. arquitectura de microservicios para el caso de estudio, con criterios técnicos explícitos.</w:t>
      </w:r>
    </w:p>
    <w:p>
      <w:pPr>
        <w:pStyle w:val="ListParagraph"/>
        <w:numPr>
          <w:ilvl w:val="0"/>
          <w:numId w:val="3"/>
        </w:numPr>
        <w:spacing w:after="90" w:line="280"/>
        <w:jc w:val="both"/>
      </w:pPr>
      <w:r>
        <w:rPr>
          <w:rFonts w:ascii="Calibri" w:cs="Calibri" w:eastAsia="Calibri" w:hAnsi="Calibri"/>
          <w:b w:val="false"/>
          <w:bCs w:val="false"/>
          <w:sz w:val="21"/>
          <w:szCs w:val="21"/>
        </w:rPr>
        <w:t xml:space="preserve">Definir los microservicios del sistema (identificación de dominios / bounded contexts) y sus responsabilidades.</w:t>
      </w:r>
    </w:p>
    <w:p>
      <w:pPr>
        <w:pStyle w:val="ListParagraph"/>
        <w:numPr>
          <w:ilvl w:val="0"/>
          <w:numId w:val="3"/>
        </w:numPr>
        <w:spacing w:after="90" w:line="280"/>
        <w:jc w:val="both"/>
      </w:pPr>
      <w:r>
        <w:rPr>
          <w:rFonts w:ascii="Calibri" w:cs="Calibri" w:eastAsia="Calibri" w:hAnsi="Calibri"/>
          <w:b w:val="false"/>
          <w:bCs w:val="false"/>
          <w:sz w:val="21"/>
          <w:szCs w:val="21"/>
        </w:rPr>
        <w:t xml:space="preserve">Definir el mecanismo de comunicación entre microservicios (síncrono vía REST y/o asíncrono vía mensajería).</w:t>
      </w:r>
    </w:p>
    <w:p>
      <w:pPr>
        <w:pStyle w:val="Heading3"/>
        <w:spacing w:after="100" w:before="200"/>
      </w:pPr>
      <w:r>
        <w:rPr>
          <w:rFonts w:ascii="Calibri" w:cs="Calibri" w:eastAsia="Calibri" w:hAnsi="Calibri"/>
          <w:b/>
          <w:bCs/>
          <w:color w:val="1F3864"/>
          <w:sz w:val="22"/>
          <w:szCs w:val="22"/>
        </w:rPr>
        <w:t xml:space="preserve">5.3 Implementación de los microservicios</w:t>
      </w:r>
    </w:p>
    <w:p>
      <w:pPr>
        <w:pStyle w:val="ListParagraph"/>
        <w:numPr>
          <w:ilvl w:val="0"/>
          <w:numId w:val="3"/>
        </w:numPr>
        <w:spacing w:after="90" w:line="280"/>
        <w:jc w:val="both"/>
      </w:pPr>
      <w:r>
        <w:rPr>
          <w:rFonts w:ascii="Calibri" w:cs="Calibri" w:eastAsia="Calibri" w:hAnsi="Calibri"/>
          <w:b w:val="false"/>
          <w:bCs w:val="false"/>
          <w:sz w:val="21"/>
          <w:szCs w:val="21"/>
        </w:rPr>
        <w:t xml:space="preserve">Desarrollar cada microservicio con su propia base de datos (persistencia políglota o independiente por servicio).</w:t>
      </w:r>
    </w:p>
    <w:p>
      <w:pPr>
        <w:pStyle w:val="ListParagraph"/>
        <w:numPr>
          <w:ilvl w:val="0"/>
          <w:numId w:val="3"/>
        </w:numPr>
        <w:spacing w:after="90" w:line="280"/>
        <w:jc w:val="both"/>
      </w:pPr>
      <w:r>
        <w:rPr>
          <w:rFonts w:ascii="Calibri" w:cs="Calibri" w:eastAsia="Calibri" w:hAnsi="Calibri"/>
          <w:b w:val="false"/>
          <w:bCs w:val="false"/>
          <w:sz w:val="21"/>
          <w:szCs w:val="21"/>
        </w:rPr>
        <w:t xml:space="preserve">Exponer las funcionalidades mediante API documentadas (OpenAPI/Swagger).</w:t>
      </w:r>
    </w:p>
    <w:p>
      <w:pPr>
        <w:pStyle w:val="ListParagraph"/>
        <w:numPr>
          <w:ilvl w:val="0"/>
          <w:numId w:val="3"/>
        </w:numPr>
        <w:spacing w:after="90" w:line="280"/>
        <w:jc w:val="both"/>
      </w:pPr>
      <w:r>
        <w:rPr>
          <w:rFonts w:ascii="Calibri" w:cs="Calibri" w:eastAsia="Calibri" w:hAnsi="Calibri"/>
          <w:b w:val="false"/>
          <w:bCs w:val="false"/>
          <w:sz w:val="21"/>
          <w:szCs w:val="21"/>
        </w:rPr>
        <w:t xml:space="preserve">Implementar mecanismos básicos de seguridad (autenticación/autorización) y manejo de errores.</w:t>
      </w:r>
    </w:p>
    <w:p>
      <w:pPr>
        <w:pStyle w:val="Heading3"/>
        <w:spacing w:after="100" w:before="200"/>
      </w:pPr>
      <w:r>
        <w:rPr>
          <w:rFonts w:ascii="Calibri" w:cs="Calibri" w:eastAsia="Calibri" w:hAnsi="Calibri"/>
          <w:b/>
          <w:bCs/>
          <w:color w:val="1F3864"/>
          <w:sz w:val="22"/>
          <w:szCs w:val="22"/>
        </w:rPr>
        <w:t xml:space="preserve">5.4 API Gateway</w:t>
      </w:r>
    </w:p>
    <w:p>
      <w:pPr>
        <w:pStyle w:val="ListParagraph"/>
        <w:numPr>
          <w:ilvl w:val="0"/>
          <w:numId w:val="3"/>
        </w:numPr>
        <w:spacing w:after="90" w:line="280"/>
        <w:jc w:val="both"/>
      </w:pPr>
      <w:r>
        <w:rPr>
          <w:rFonts w:ascii="Calibri" w:cs="Calibri" w:eastAsia="Calibri" w:hAnsi="Calibri"/>
          <w:b w:val="false"/>
          <w:bCs w:val="false"/>
          <w:sz w:val="21"/>
          <w:szCs w:val="21"/>
        </w:rPr>
        <w:t xml:space="preserve">Implementar un API Gateway propio, construido por el equipo, por el cual deben pasar obligatoriamente todas las peticiones externas dirigidas a los microservicios.</w:t>
      </w:r>
    </w:p>
    <w:p>
      <w:pPr>
        <w:pStyle w:val="ListParagraph"/>
        <w:numPr>
          <w:ilvl w:val="0"/>
          <w:numId w:val="3"/>
        </w:numPr>
        <w:spacing w:after="90" w:line="280"/>
        <w:jc w:val="both"/>
      </w:pPr>
      <w:r>
        <w:rPr>
          <w:rFonts w:ascii="Calibri" w:cs="Calibri" w:eastAsia="Calibri" w:hAnsi="Calibri"/>
          <w:b w:val="false"/>
          <w:bCs w:val="false"/>
          <w:sz w:val="21"/>
          <w:szCs w:val="21"/>
        </w:rPr>
        <w:t xml:space="preserve">No está permitido el uso de Kong ni de ninguna otra solución de API Gateway preconstruida de terceros: el Gateway debe ser desarrollado por el equipo con las tecnologías vistas en clase.</w:t>
      </w:r>
    </w:p>
    <w:p>
      <w:pPr>
        <w:pStyle w:val="ListParagraph"/>
        <w:numPr>
          <w:ilvl w:val="0"/>
          <w:numId w:val="3"/>
        </w:numPr>
        <w:spacing w:after="90" w:line="280"/>
        <w:jc w:val="both"/>
      </w:pPr>
      <w:r>
        <w:rPr>
          <w:rFonts w:ascii="Calibri" w:cs="Calibri" w:eastAsia="Calibri" w:hAnsi="Calibri"/>
          <w:b w:val="false"/>
          <w:bCs w:val="false"/>
          <w:sz w:val="21"/>
          <w:szCs w:val="21"/>
        </w:rPr>
        <w:t xml:space="preserve">El Gateway debe encargarse, como mínimo, del enrutamiento de peticiones hacia el microservicio correspondiente y podrá centralizar aspectos transversales como autenticación.</w:t>
      </w:r>
    </w:p>
    <w:p>
      <w:pPr>
        <w:pStyle w:val="Heading3"/>
        <w:spacing w:after="100" w:before="200"/>
      </w:pPr>
      <w:r>
        <w:rPr>
          <w:rFonts w:ascii="Calibri" w:cs="Calibri" w:eastAsia="Calibri" w:hAnsi="Calibri"/>
          <w:b/>
          <w:bCs/>
          <w:color w:val="1F3864"/>
          <w:sz w:val="22"/>
          <w:szCs w:val="22"/>
        </w:rPr>
        <w:t xml:space="preserve">5.5 Pruebas de rendimiento</w:t>
      </w:r>
    </w:p>
    <w:p>
      <w:pPr>
        <w:pStyle w:val="ListParagraph"/>
        <w:numPr>
          <w:ilvl w:val="0"/>
          <w:numId w:val="3"/>
        </w:numPr>
        <w:spacing w:after="90" w:line="280"/>
        <w:jc w:val="both"/>
      </w:pPr>
      <w:r>
        <w:rPr>
          <w:rFonts w:ascii="Calibri" w:cs="Calibri" w:eastAsia="Calibri" w:hAnsi="Calibri"/>
          <w:b w:val="false"/>
          <w:bCs w:val="false"/>
          <w:sz w:val="21"/>
          <w:szCs w:val="21"/>
        </w:rPr>
        <w:t xml:space="preserve">Cada integrante del equipo debe definir y ejecutar un mínimo de quince (15) pruebas de rendimiento sobre los endpoints que él mismo defina, cubriendo distintos microservicios y escenarios (carga normal, carga pico, estrés).</w:t>
      </w:r>
    </w:p>
    <w:p>
      <w:pPr>
        <w:pStyle w:val="ListParagraph"/>
        <w:numPr>
          <w:ilvl w:val="0"/>
          <w:numId w:val="3"/>
        </w:numPr>
        <w:spacing w:after="90" w:line="280"/>
        <w:jc w:val="both"/>
      </w:pPr>
      <w:r>
        <w:rPr>
          <w:rFonts w:ascii="Calibri" w:cs="Calibri" w:eastAsia="Calibri" w:hAnsi="Calibri"/>
          <w:b w:val="false"/>
          <w:bCs w:val="false"/>
          <w:sz w:val="21"/>
          <w:szCs w:val="21"/>
        </w:rPr>
        <w:t xml:space="preserve">Definir las métricas a medir en cada prueba (tiempo de respuesta, throughput, tasa de error, entre otras).</w:t>
      </w:r>
    </w:p>
    <w:p>
      <w:pPr>
        <w:pStyle w:val="ListParagraph"/>
        <w:numPr>
          <w:ilvl w:val="0"/>
          <w:numId w:val="3"/>
        </w:numPr>
        <w:spacing w:after="90" w:line="280"/>
        <w:jc w:val="both"/>
      </w:pPr>
      <w:r>
        <w:rPr>
          <w:rFonts w:ascii="Calibri" w:cs="Calibri" w:eastAsia="Calibri" w:hAnsi="Calibri"/>
          <w:b w:val="false"/>
          <w:bCs w:val="false"/>
          <w:sz w:val="21"/>
          <w:szCs w:val="21"/>
        </w:rPr>
        <w:t xml:space="preserve">Ejecutar las pruebas con herramientas de la industria (por ejemplo JMeter, k6, Locust o Gatling).</w:t>
      </w:r>
    </w:p>
    <w:p>
      <w:pPr>
        <w:pStyle w:val="ListParagraph"/>
        <w:numPr>
          <w:ilvl w:val="0"/>
          <w:numId w:val="3"/>
        </w:numPr>
        <w:spacing w:after="90" w:line="280"/>
        <w:jc w:val="both"/>
      </w:pPr>
      <w:r>
        <w:rPr>
          <w:rFonts w:ascii="Calibri" w:cs="Calibri" w:eastAsia="Calibri" w:hAnsi="Calibri"/>
          <w:b w:val="false"/>
          <w:bCs w:val="false"/>
          <w:sz w:val="21"/>
          <w:szCs w:val="21"/>
        </w:rPr>
        <w:t xml:space="preserve">Analizar los resultados obtenidos y, de ser posible, proponer y validar optimizaciones.</w:t>
      </w:r>
    </w:p>
    <w:p>
      <w:pPr>
        <w:pStyle w:val="Heading3"/>
        <w:spacing w:after="100" w:before="200"/>
      </w:pPr>
      <w:r>
        <w:rPr>
          <w:rFonts w:ascii="Calibri" w:cs="Calibri" w:eastAsia="Calibri" w:hAnsi="Calibri"/>
          <w:b/>
          <w:bCs/>
          <w:color w:val="1F3864"/>
          <w:sz w:val="22"/>
          <w:szCs w:val="22"/>
        </w:rPr>
        <w:t xml:space="preserve">5.6 Contenerización y gestión de contenedores</w:t>
      </w:r>
    </w:p>
    <w:p>
      <w:pPr>
        <w:pStyle w:val="ListParagraph"/>
        <w:numPr>
          <w:ilvl w:val="0"/>
          <w:numId w:val="3"/>
        </w:numPr>
        <w:spacing w:after="90" w:line="280"/>
        <w:jc w:val="both"/>
      </w:pPr>
      <w:r>
        <w:rPr>
          <w:rFonts w:ascii="Calibri" w:cs="Calibri" w:eastAsia="Calibri" w:hAnsi="Calibri"/>
          <w:b w:val="false"/>
          <w:bCs w:val="false"/>
          <w:sz w:val="21"/>
          <w:szCs w:val="21"/>
        </w:rPr>
        <w:t xml:space="preserve">Construir una imagen de contenedor (Docker) para cada microservicio.</w:t>
      </w:r>
    </w:p>
    <w:p>
      <w:pPr>
        <w:pStyle w:val="ListParagraph"/>
        <w:numPr>
          <w:ilvl w:val="0"/>
          <w:numId w:val="3"/>
        </w:numPr>
        <w:spacing w:after="90" w:line="280"/>
        <w:jc w:val="both"/>
      </w:pPr>
      <w:r>
        <w:rPr>
          <w:rFonts w:ascii="Calibri" w:cs="Calibri" w:eastAsia="Calibri" w:hAnsi="Calibri"/>
          <w:b w:val="false"/>
          <w:bCs w:val="false"/>
          <w:sz w:val="21"/>
          <w:szCs w:val="21"/>
        </w:rPr>
        <w:t xml:space="preserve">Orquestar y gestionar obligatoriamente el conjunto de servicios mediante Kubernetes; Kubernetes no es opcional. Docker Compose solo podrá emplearse como apoyo en el entorno de desarrollo local.</w:t>
      </w:r>
    </w:p>
    <w:p>
      <w:pPr>
        <w:pStyle w:val="ListParagraph"/>
        <w:numPr>
          <w:ilvl w:val="0"/>
          <w:numId w:val="3"/>
        </w:numPr>
        <w:spacing w:after="90" w:line="280"/>
        <w:jc w:val="both"/>
      </w:pPr>
      <w:r>
        <w:rPr>
          <w:rFonts w:ascii="Calibri" w:cs="Calibri" w:eastAsia="Calibri" w:hAnsi="Calibri"/>
          <w:b w:val="false"/>
          <w:bCs w:val="false"/>
          <w:sz w:val="21"/>
          <w:szCs w:val="21"/>
        </w:rPr>
        <w:t xml:space="preserve">Gestionar en Kubernetes los despliegues, servicios, redes, variables de entorno, volúmenes y estrategias de escalado de los contenedores.</w:t>
      </w:r>
    </w:p>
    <w:p>
      <w:pPr>
        <w:pStyle w:val="Heading3"/>
        <w:spacing w:after="100" w:before="200"/>
      </w:pPr>
      <w:r>
        <w:rPr>
          <w:rFonts w:ascii="Calibri" w:cs="Calibri" w:eastAsia="Calibri" w:hAnsi="Calibri"/>
          <w:b/>
          <w:bCs/>
          <w:color w:val="1F3864"/>
          <w:sz w:val="22"/>
          <w:szCs w:val="22"/>
        </w:rPr>
        <w:t xml:space="preserve">5.7 Repositorio y tecnologías</w:t>
      </w:r>
    </w:p>
    <w:p>
      <w:pPr>
        <w:pStyle w:val="ListParagraph"/>
        <w:numPr>
          <w:ilvl w:val="0"/>
          <w:numId w:val="3"/>
        </w:numPr>
        <w:spacing w:after="90" w:line="280"/>
        <w:jc w:val="both"/>
      </w:pPr>
      <w:r>
        <w:rPr>
          <w:rFonts w:ascii="Calibri" w:cs="Calibri" w:eastAsia="Calibri" w:hAnsi="Calibri"/>
          <w:b w:val="false"/>
          <w:bCs w:val="false"/>
          <w:sz w:val="21"/>
          <w:szCs w:val="21"/>
        </w:rPr>
        <w:t xml:space="preserve">Todo el proyecto (código fuente, configuración de contenedores, manifiestos de Kubernetes, documentación y bitácoras) debe estar alojado en un repositorio de GitHub por equipo.</w:t>
      </w:r>
    </w:p>
    <w:p>
      <w:pPr>
        <w:pStyle w:val="ListParagraph"/>
        <w:numPr>
          <w:ilvl w:val="0"/>
          <w:numId w:val="3"/>
        </w:numPr>
        <w:spacing w:after="90" w:line="280"/>
        <w:jc w:val="both"/>
      </w:pPr>
      <w:r>
        <w:rPr>
          <w:rFonts w:ascii="Calibri" w:cs="Calibri" w:eastAsia="Calibri" w:hAnsi="Calibri"/>
          <w:b w:val="false"/>
          <w:bCs w:val="false"/>
          <w:sz w:val="21"/>
          <w:szCs w:val="21"/>
        </w:rPr>
        <w:t xml:space="preserve">En el repositorio debe evidenciarse la actividad individual de todos los integrantes del equipo (commits, ramas y pull requests propios de cada integrante); la ausencia de dicha evidencia afectará la nota individual.</w:t>
      </w:r>
    </w:p>
    <w:p>
      <w:pPr>
        <w:pStyle w:val="ListParagraph"/>
        <w:numPr>
          <w:ilvl w:val="0"/>
          <w:numId w:val="3"/>
        </w:numPr>
        <w:spacing w:after="90" w:line="280"/>
        <w:jc w:val="both"/>
      </w:pPr>
      <w:r>
        <w:rPr>
          <w:rFonts w:ascii="Calibri" w:cs="Calibri" w:eastAsia="Calibri" w:hAnsi="Calibri"/>
          <w:b w:val="false"/>
          <w:bCs w:val="false"/>
          <w:sz w:val="21"/>
          <w:szCs w:val="21"/>
        </w:rPr>
        <w:t xml:space="preserve">Únicamente se permite el uso de los lenguajes, frameworks, bases de datos y demás herramientas vistas y trabajadas durante las clases del curso.</w:t>
      </w:r>
    </w:p>
    <w:p>
      <w:pPr>
        <w:pStyle w:val="Heading1"/>
        <w:pBdr>
          <w:bottom w:val="single" w:color="1F3864" w:sz="8" w:space="4"/>
        </w:pBdr>
        <w:spacing w:after="160" w:before="360"/>
      </w:pPr>
      <w:r>
        <w:rPr>
          <w:rFonts w:ascii="Calibri" w:cs="Calibri" w:eastAsia="Calibri" w:hAnsi="Calibri"/>
          <w:b/>
          <w:bCs/>
          <w:color w:val="1F3864"/>
          <w:sz w:val="30"/>
          <w:szCs w:val="30"/>
        </w:rPr>
        <w:t xml:space="preserve">6. Uso obligatorio de Inteligencia Artificial y bitácoras</w:t>
      </w:r>
    </w:p>
    <w:p>
      <w:pPr>
        <w:spacing w:after="160" w:line="300"/>
        <w:jc w:val="both"/>
      </w:pPr>
      <w:r>
        <w:rPr>
          <w:rFonts w:ascii="Calibri" w:cs="Calibri" w:eastAsia="Calibri" w:hAnsi="Calibri"/>
          <w:sz w:val="21"/>
          <w:szCs w:val="21"/>
        </w:rPr>
        <w:t xml:space="preserve">El uso de herramientas de inteligencia artificial generativa (por ejemplo, Claude, ChatGPT, GitHub Copilot, entre otras) es obligatorio durante el desarrollo del proyecto, tanto en las fases de investigación y diseño como en la implementación, las pruebas y la documentación. No se trata de delegar el trabajo a la IA, sino de aprender a utilizarla como una herramienta profesional de apoyo, de forma crítica y responsable.</w:t>
      </w:r>
    </w:p>
    <w:p>
      <w:pPr>
        <w:spacing w:after="160" w:line="300"/>
        <w:jc w:val="both"/>
      </w:pPr>
      <w:r>
        <w:rPr>
          <w:rFonts w:ascii="Calibri" w:cs="Calibri" w:eastAsia="Calibri" w:hAnsi="Calibri"/>
          <w:sz w:val="21"/>
          <w:szCs w:val="21"/>
        </w:rPr>
        <w:t xml:space="preserve">Cada equipo deberá llevar una bitácora de uso de IA que registre, de forma honesta y detallada, cómo, cuándo y para qué se utilizó la IA en cada fase del proyecto. Esta bitácora es un entregable obligatorio en cada una de las cuatro entregas y será objeto de sustentación: se podrá preguntar a cualquier integrante sobre las decisiones tomadas con apoyo de IA y sobre su comprensión real del trabajo entregado.</w:t>
      </w:r>
    </w:p>
    <w:p>
      <w:pPr>
        <w:spacing w:after="160" w:line="300"/>
        <w:jc w:val="both"/>
      </w:pPr>
      <w:r>
        <w:rPr>
          <w:rFonts w:ascii="Calibri" w:cs="Calibri" w:eastAsia="Calibri" w:hAnsi="Calibri"/>
          <w:sz w:val="21"/>
          <w:szCs w:val="21"/>
        </w:rPr>
        <w:t xml:space="preserve">No cumplir con el registro de la bitácora, o evidenciar un uso de IA no comprendido ni justificado por el equipo, afectará negativamente la calificación de la entrega correspondiente.</w:t>
      </w:r>
    </w:p>
    <w:p>
      <w:pPr>
        <w:pStyle w:val="Heading1"/>
        <w:pBdr>
          <w:bottom w:val="single" w:color="1F3864" w:sz="8" w:space="4"/>
        </w:pBdr>
        <w:spacing w:after="160" w:before="360"/>
      </w:pPr>
      <w:r>
        <w:rPr>
          <w:rFonts w:ascii="Calibri" w:cs="Calibri" w:eastAsia="Calibri" w:hAnsi="Calibri"/>
          <w:b/>
          <w:bCs/>
          <w:color w:val="1F3864"/>
          <w:sz w:val="30"/>
          <w:szCs w:val="30"/>
        </w:rPr>
        <w:t xml:space="preserve">7. Formato de la bitácora de uso de IA</w:t>
      </w:r>
    </w:p>
    <w:p>
      <w:pPr>
        <w:spacing w:after="160" w:line="300"/>
        <w:jc w:val="both"/>
      </w:pPr>
      <w:r>
        <w:rPr>
          <w:rFonts w:ascii="Calibri" w:cs="Calibri" w:eastAsia="Calibri" w:hAnsi="Calibri"/>
          <w:sz w:val="21"/>
          <w:szCs w:val="21"/>
        </w:rPr>
        <w:t xml:space="preserve">Cada equipo debe diligenciar la bitácora con el siguiente encabezado y, debajo, una fila por cada interacción relevante con una herramienta de 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shd w:fill="DCE6F1" w:val="clear"/>
            <w:tcMar>
              <w:top w:type="dxa" w:w="80"/>
              <w:left w:type="dxa" w:w="100"/>
              <w:bottom w:type="dxa" w:w="80"/>
              <w:right w:type="dxa" w:w="100"/>
            </w:tcMar>
            <w:vAlign w:val="center"/>
          </w:tcPr>
          <w:p>
            <w:pPr>
              <w:jc w:val="both"/>
            </w:pPr>
            <w:r>
              <w:rPr>
                <w:rFonts w:ascii="Calibri" w:cs="Calibri" w:eastAsia="Calibri" w:hAnsi="Calibri"/>
                <w:b/>
                <w:bCs/>
                <w:color w:val="000000"/>
                <w:sz w:val="19"/>
                <w:szCs w:val="19"/>
              </w:rPr>
              <w:t xml:space="preserve">Proyecto</w:t>
            </w:r>
          </w:p>
        </w:tc>
        <w:tc>
          <w:tcPr>
            <w:tcW w:type="dxa" w:w="788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Sistema de Gestión de Inventarios – [Nombre de la empresa]</w:t>
            </w:r>
          </w:p>
        </w:tc>
      </w:tr>
      <w:tr>
        <w:tc>
          <w:tcPr>
            <w:tcW w:type="dxa" w:w="2200"/>
            <w:shd w:fill="DCE6F1" w:val="clear"/>
            <w:tcMar>
              <w:top w:type="dxa" w:w="80"/>
              <w:left w:type="dxa" w:w="100"/>
              <w:bottom w:type="dxa" w:w="80"/>
              <w:right w:type="dxa" w:w="100"/>
            </w:tcMar>
            <w:vAlign w:val="center"/>
          </w:tcPr>
          <w:p>
            <w:pPr>
              <w:jc w:val="both"/>
            </w:pPr>
            <w:r>
              <w:rPr>
                <w:rFonts w:ascii="Calibri" w:cs="Calibri" w:eastAsia="Calibri" w:hAnsi="Calibri"/>
                <w:b/>
                <w:bCs/>
                <w:color w:val="000000"/>
                <w:sz w:val="19"/>
                <w:szCs w:val="19"/>
              </w:rPr>
              <w:t xml:space="preserve">Equipo / Integrantes</w:t>
            </w:r>
          </w:p>
        </w:tc>
        <w:tc>
          <w:tcPr>
            <w:tcW w:type="dxa" w:w="788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[Nombres completos]</w:t>
            </w:r>
          </w:p>
        </w:tc>
      </w:tr>
      <w:tr>
        <w:tc>
          <w:tcPr>
            <w:tcW w:type="dxa" w:w="2200"/>
            <w:shd w:fill="DCE6F1" w:val="clear"/>
            <w:tcMar>
              <w:top w:type="dxa" w:w="80"/>
              <w:left w:type="dxa" w:w="100"/>
              <w:bottom w:type="dxa" w:w="80"/>
              <w:right w:type="dxa" w:w="100"/>
            </w:tcMar>
            <w:vAlign w:val="center"/>
          </w:tcPr>
          <w:p>
            <w:pPr>
              <w:jc w:val="both"/>
            </w:pPr>
            <w:r>
              <w:rPr>
                <w:rFonts w:ascii="Calibri" w:cs="Calibri" w:eastAsia="Calibri" w:hAnsi="Calibri"/>
                <w:b/>
                <w:bCs/>
                <w:color w:val="000000"/>
                <w:sz w:val="19"/>
                <w:szCs w:val="19"/>
              </w:rPr>
              <w:t xml:space="preserve">Entrega N.°</w:t>
            </w:r>
          </w:p>
        </w:tc>
        <w:tc>
          <w:tcPr>
            <w:tcW w:type="dxa" w:w="788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[1 / 2 / 3 / 4]</w:t>
            </w:r>
          </w:p>
        </w:tc>
      </w:tr>
      <w:tr>
        <w:tc>
          <w:tcPr>
            <w:tcW w:type="dxa" w:w="2200"/>
            <w:shd w:fill="DCE6F1" w:val="clear"/>
            <w:tcMar>
              <w:top w:type="dxa" w:w="80"/>
              <w:left w:type="dxa" w:w="100"/>
              <w:bottom w:type="dxa" w:w="80"/>
              <w:right w:type="dxa" w:w="100"/>
            </w:tcMar>
            <w:vAlign w:val="center"/>
          </w:tcPr>
          <w:p>
            <w:pPr>
              <w:jc w:val="both"/>
            </w:pPr>
            <w:r>
              <w:rPr>
                <w:rFonts w:ascii="Calibri" w:cs="Calibri" w:eastAsia="Calibri" w:hAnsi="Calibri"/>
                <w:b/>
                <w:bCs/>
                <w:color w:val="000000"/>
                <w:sz w:val="19"/>
                <w:szCs w:val="19"/>
              </w:rPr>
              <w:t xml:space="preserve">Periodo cubierto</w:t>
            </w:r>
          </w:p>
        </w:tc>
        <w:tc>
          <w:tcPr>
            <w:tcW w:type="dxa" w:w="788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[Fecha inicial – fecha final]</w:t>
            </w:r>
          </w:p>
        </w:tc>
      </w:tr>
    </w:tbl>
    <w:p>
      <w:pPr>
        <w:spacing w:after="12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150"/>
        <w:gridCol w:w="1250"/>
        <w:gridCol w:w="1800"/>
        <w:gridCol w:w="1800"/>
        <w:gridCol w:w="1300"/>
        <w:gridCol w:w="1780"/>
      </w:tblGrid>
      <w:tr>
        <w:trPr>
          <w:tblHeader/>
        </w:trPr>
        <w:tc>
          <w:tcPr>
            <w:tcW w:type="dxa" w:w="10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Fecha</w:t>
            </w:r>
          </w:p>
        </w:tc>
        <w:tc>
          <w:tcPr>
            <w:tcW w:type="dxa" w:w="115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Integrante</w:t>
            </w:r>
          </w:p>
        </w:tc>
        <w:tc>
          <w:tcPr>
            <w:tcW w:type="dxa" w:w="125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Herramienta de IA</w:t>
            </w:r>
          </w:p>
        </w:tc>
        <w:tc>
          <w:tcPr>
            <w:tcW w:type="dxa" w:w="18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Tarea / actividad apoyada</w:t>
            </w:r>
          </w:p>
        </w:tc>
        <w:tc>
          <w:tcPr>
            <w:tcW w:type="dxa" w:w="18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Prompt utilizado (resumen)</w:t>
            </w:r>
          </w:p>
        </w:tc>
        <w:tc>
          <w:tcPr>
            <w:tcW w:type="dxa" w:w="130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Nivel de intervención humana</w:t>
            </w:r>
          </w:p>
        </w:tc>
        <w:tc>
          <w:tcPr>
            <w:tcW w:type="dxa" w:w="1780"/>
            <w:shd w:fill="2E539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Resultado / aprendizaje</w:t>
            </w:r>
          </w:p>
        </w:tc>
      </w:tr>
      <w:tr>
        <w:tc>
          <w:tcPr>
            <w:tcW w:type="dxa" w:w="100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dd/mm/aaaa</w:t>
            </w:r>
          </w:p>
        </w:tc>
        <w:tc>
          <w:tcPr>
            <w:tcW w:type="dxa" w:w="115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Nombre del estudiante</w:t>
            </w:r>
          </w:p>
        </w:tc>
        <w:tc>
          <w:tcPr>
            <w:tcW w:type="dxa" w:w="125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Ej. Claude, ChatGPT, Copilot</w:t>
            </w:r>
          </w:p>
        </w:tc>
        <w:tc>
          <w:tcPr>
            <w:tcW w:type="dxa" w:w="180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Ej. Generación de esqueleto del microservicio de inventario</w:t>
            </w:r>
          </w:p>
        </w:tc>
        <w:tc>
          <w:tcPr>
            <w:tcW w:type="dxa" w:w="180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Resumen del prompt o enlace a la conversación</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Alto / Medio / Bajo</w:t>
            </w:r>
          </w:p>
        </w:tc>
        <w:tc>
          <w:tcPr>
            <w:tcW w:type="dxa" w:w="1780"/>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Qué se usó tal cual, qué se modificó y qué se aprendió</w:t>
            </w:r>
          </w:p>
        </w:tc>
      </w:tr>
    </w:tbl>
    <w:p>
      <w:pPr>
        <w:spacing w:after="100" w:before="200"/>
      </w:pPr>
    </w:p>
    <w:p>
      <w:pPr>
        <w:pStyle w:val="Heading3"/>
        <w:spacing w:after="100" w:before="200"/>
      </w:pPr>
      <w:r>
        <w:rPr>
          <w:rFonts w:ascii="Calibri" w:cs="Calibri" w:eastAsia="Calibri" w:hAnsi="Calibri"/>
          <w:b/>
          <w:bCs/>
          <w:color w:val="1F3864"/>
          <w:sz w:val="22"/>
          <w:szCs w:val="22"/>
        </w:rPr>
        <w:t xml:space="preserve">Reflexión final de la fase (obligatoria)</w:t>
      </w:r>
    </w:p>
    <w:p>
      <w:pPr>
        <w:spacing w:after="160" w:line="300"/>
        <w:jc w:val="both"/>
      </w:pPr>
      <w:r>
        <w:rPr>
          <w:rFonts w:ascii="Calibri" w:cs="Calibri" w:eastAsia="Calibri" w:hAnsi="Calibri"/>
          <w:sz w:val="21"/>
          <w:szCs w:val="21"/>
        </w:rPr>
        <w:t xml:space="preserve">Cada bitácora debe cerrar con un párrafo breve (5-10 líneas) en el que el equipo reflexione sobre: qué tareas delegó a la IA y por qué, qué aprendió del proceso, qué errores o limitaciones detectó en las respuestas de la IA, y cómo verificó o corrigió lo generado por esta.</w:t>
      </w:r>
    </w:p>
    <w:p>
      <w:pPr>
        <w:pStyle w:val="Heading1"/>
        <w:pBdr>
          <w:bottom w:val="single" w:color="1F3864" w:sz="8" w:space="4"/>
        </w:pBdr>
        <w:spacing w:after="160" w:before="360"/>
      </w:pPr>
      <w:r>
        <w:rPr>
          <w:rFonts w:ascii="Calibri" w:cs="Calibri" w:eastAsia="Calibri" w:hAnsi="Calibri"/>
          <w:b/>
          <w:bCs/>
          <w:color w:val="1F3864"/>
          <w:sz w:val="30"/>
          <w:szCs w:val="30"/>
        </w:rPr>
        <w:t xml:space="preserve">8. Requerimientos del sistema de inventarios</w:t>
      </w:r>
    </w:p>
    <w:p>
      <w:pPr>
        <w:spacing w:after="160" w:line="300"/>
        <w:jc w:val="both"/>
      </w:pPr>
      <w:r>
        <w:rPr>
          <w:rFonts w:ascii="Calibri" w:cs="Calibri" w:eastAsia="Calibri" w:hAnsi="Calibri"/>
          <w:sz w:val="21"/>
          <w:szCs w:val="21"/>
        </w:rPr>
        <w:t xml:space="preserve">Los siguientes requerimientos constituyen el alcance funcional y no funcional mínimo del sistema. Cada equipo podrá ampliarlos o adaptarlos a la empresa que defina como caso de estudio, siempre y cuando lo justifique en la sustentación.</w:t>
      </w:r>
    </w:p>
    <w:p>
      <w:pPr>
        <w:pStyle w:val="Heading3"/>
        <w:spacing w:after="100" w:before="200"/>
      </w:pPr>
      <w:r>
        <w:rPr>
          <w:rFonts w:ascii="Calibri" w:cs="Calibri" w:eastAsia="Calibri" w:hAnsi="Calibri"/>
          <w:b/>
          <w:bCs/>
          <w:color w:val="1F3864"/>
          <w:sz w:val="22"/>
          <w:szCs w:val="22"/>
        </w:rPr>
        <w:t xml:space="preserve">8.1 Requerimientos funcionales (RF)</w:t>
      </w:r>
    </w:p>
    <w:p>
      <w:pPr>
        <w:pStyle w:val="ListParagraph"/>
        <w:numPr>
          <w:ilvl w:val="0"/>
          <w:numId w:val="4"/>
        </w:numPr>
        <w:spacing w:after="90" w:line="280"/>
        <w:jc w:val="both"/>
      </w:pPr>
      <w:r>
        <w:rPr>
          <w:rFonts w:ascii="Calibri" w:cs="Calibri" w:eastAsia="Calibri" w:hAnsi="Calibri"/>
          <w:sz w:val="21"/>
          <w:szCs w:val="21"/>
        </w:rPr>
        <w:t xml:space="preserve">RF01 — Gestión de productos: el sistema debe permitir crear, consultar, actualizar y eliminar (dar de baja) productos, incluyendo atributos como código, nombre, descripción, categoría, unidad de medida, precio y proveedor asociado.</w:t>
      </w:r>
    </w:p>
    <w:p>
      <w:pPr>
        <w:pStyle w:val="ListParagraph"/>
        <w:numPr>
          <w:ilvl w:val="0"/>
          <w:numId w:val="4"/>
        </w:numPr>
        <w:spacing w:after="90" w:line="280"/>
        <w:jc w:val="both"/>
      </w:pPr>
      <w:r>
        <w:rPr>
          <w:rFonts w:ascii="Calibri" w:cs="Calibri" w:eastAsia="Calibri" w:hAnsi="Calibri"/>
          <w:sz w:val="21"/>
          <w:szCs w:val="21"/>
        </w:rPr>
        <w:t xml:space="preserve">RF02 — Gestión de categorías: el sistema debe permitir crear, consultar, actualizar y eliminar categorías y subcategorías de productos.</w:t>
      </w:r>
    </w:p>
    <w:p>
      <w:pPr>
        <w:pStyle w:val="ListParagraph"/>
        <w:numPr>
          <w:ilvl w:val="0"/>
          <w:numId w:val="4"/>
        </w:numPr>
        <w:spacing w:after="90" w:line="280"/>
        <w:jc w:val="both"/>
      </w:pPr>
      <w:r>
        <w:rPr>
          <w:rFonts w:ascii="Calibri" w:cs="Calibri" w:eastAsia="Calibri" w:hAnsi="Calibri"/>
          <w:sz w:val="21"/>
          <w:szCs w:val="21"/>
        </w:rPr>
        <w:t xml:space="preserve">RF03 — Gestión de proveedores: el sistema debe permitir registrar, consultar, actualizar y eliminar proveedores, y asociarlos a uno o varios productos.</w:t>
      </w:r>
    </w:p>
    <w:p>
      <w:pPr>
        <w:pStyle w:val="ListParagraph"/>
        <w:numPr>
          <w:ilvl w:val="0"/>
          <w:numId w:val="4"/>
        </w:numPr>
        <w:spacing w:after="90" w:line="280"/>
        <w:jc w:val="both"/>
      </w:pPr>
      <w:r>
        <w:rPr>
          <w:rFonts w:ascii="Calibri" w:cs="Calibri" w:eastAsia="Calibri" w:hAnsi="Calibri"/>
          <w:sz w:val="21"/>
          <w:szCs w:val="21"/>
        </w:rPr>
        <w:t xml:space="preserve">RF04 — Control de stock: el sistema debe permitir registrar movimientos de inventario (entradas, salidas, ajustes y traslados) y mantener actualizado el saldo disponible de cada producto en cada bodega/almacén.</w:t>
      </w:r>
    </w:p>
    <w:p>
      <w:pPr>
        <w:pStyle w:val="ListParagraph"/>
        <w:numPr>
          <w:ilvl w:val="0"/>
          <w:numId w:val="4"/>
        </w:numPr>
        <w:spacing w:after="90" w:line="280"/>
        <w:jc w:val="both"/>
      </w:pPr>
      <w:r>
        <w:rPr>
          <w:rFonts w:ascii="Calibri" w:cs="Calibri" w:eastAsia="Calibri" w:hAnsi="Calibri"/>
          <w:sz w:val="21"/>
          <w:szCs w:val="21"/>
        </w:rPr>
        <w:t xml:space="preserve">RF05 — Gestión de almacenes o bodegas: el sistema debe permitir administrar múltiples ubicaciones físicas de almacenamiento y consultar el stock de un producto por ubicación.</w:t>
      </w:r>
    </w:p>
    <w:p>
      <w:pPr>
        <w:pStyle w:val="ListParagraph"/>
        <w:numPr>
          <w:ilvl w:val="0"/>
          <w:numId w:val="4"/>
        </w:numPr>
        <w:spacing w:after="90" w:line="280"/>
        <w:jc w:val="both"/>
      </w:pPr>
      <w:r>
        <w:rPr>
          <w:rFonts w:ascii="Calibri" w:cs="Calibri" w:eastAsia="Calibri" w:hAnsi="Calibri"/>
          <w:sz w:val="21"/>
          <w:szCs w:val="21"/>
        </w:rPr>
        <w:t xml:space="preserve">RF06 — Órdenes de compra: el sistema debe permitir generar, consultar y actualizar el estado de órdenes de compra a proveedores, y recibir mercancía contra dichas órdenes.</w:t>
      </w:r>
    </w:p>
    <w:p>
      <w:pPr>
        <w:pStyle w:val="ListParagraph"/>
        <w:numPr>
          <w:ilvl w:val="0"/>
          <w:numId w:val="4"/>
        </w:numPr>
        <w:spacing w:after="90" w:line="280"/>
        <w:jc w:val="both"/>
      </w:pPr>
      <w:r>
        <w:rPr>
          <w:rFonts w:ascii="Calibri" w:cs="Calibri" w:eastAsia="Calibri" w:hAnsi="Calibri"/>
          <w:sz w:val="21"/>
          <w:szCs w:val="21"/>
        </w:rPr>
        <w:t xml:space="preserve">RF07 — Gestión de usuarios y roles: el sistema debe permitir el registro, consulta, actualización y asignación de usuarios, con al menos dos roles (por ejemplo, administrador y operador de bodega) con permisos diferenciados.</w:t>
      </w:r>
    </w:p>
    <w:p>
      <w:pPr>
        <w:pStyle w:val="ListParagraph"/>
        <w:numPr>
          <w:ilvl w:val="0"/>
          <w:numId w:val="4"/>
        </w:numPr>
        <w:spacing w:after="90" w:line="280"/>
        <w:jc w:val="both"/>
      </w:pPr>
      <w:r>
        <w:rPr>
          <w:rFonts w:ascii="Calibri" w:cs="Calibri" w:eastAsia="Calibri" w:hAnsi="Calibri"/>
          <w:sz w:val="21"/>
          <w:szCs w:val="21"/>
        </w:rPr>
        <w:t xml:space="preserve">RF08 — Autenticación de usuarios: el sistema debe permitir inicio de sesión, cierre de sesión, recuperación de contraseña y cambio de contraseña.</w:t>
      </w:r>
    </w:p>
    <w:p>
      <w:pPr>
        <w:pStyle w:val="ListParagraph"/>
        <w:numPr>
          <w:ilvl w:val="0"/>
          <w:numId w:val="4"/>
        </w:numPr>
        <w:spacing w:after="90" w:line="280"/>
        <w:jc w:val="both"/>
      </w:pPr>
      <w:r>
        <w:rPr>
          <w:rFonts w:ascii="Calibri" w:cs="Calibri" w:eastAsia="Calibri" w:hAnsi="Calibri"/>
          <w:sz w:val="21"/>
          <w:szCs w:val="21"/>
        </w:rPr>
        <w:t xml:space="preserve">RF09 — Alertas de stock: el sistema debe notificar (en interfaz, correo o similar) cuando el nivel de stock de un producto esté por debajo de un umbral mínimo configurable.</w:t>
      </w:r>
    </w:p>
    <w:p>
      <w:pPr>
        <w:pStyle w:val="ListParagraph"/>
        <w:numPr>
          <w:ilvl w:val="0"/>
          <w:numId w:val="4"/>
        </w:numPr>
        <w:spacing w:after="90" w:line="280"/>
        <w:jc w:val="both"/>
      </w:pPr>
      <w:r>
        <w:rPr>
          <w:rFonts w:ascii="Calibri" w:cs="Calibri" w:eastAsia="Calibri" w:hAnsi="Calibri"/>
          <w:sz w:val="21"/>
          <w:szCs w:val="21"/>
        </w:rPr>
        <w:t xml:space="preserve">RF10 — Trazabilidad y auditoría: el sistema debe registrar quién, cuándo y qué movimiento realizó sobre el inventario (kardex/histórico de movimientos).</w:t>
      </w:r>
    </w:p>
    <w:p>
      <w:pPr>
        <w:pStyle w:val="ListParagraph"/>
        <w:numPr>
          <w:ilvl w:val="0"/>
          <w:numId w:val="4"/>
        </w:numPr>
        <w:spacing w:after="90" w:line="280"/>
        <w:jc w:val="both"/>
      </w:pPr>
      <w:r>
        <w:rPr>
          <w:rFonts w:ascii="Calibri" w:cs="Calibri" w:eastAsia="Calibri" w:hAnsi="Calibri"/>
          <w:sz w:val="21"/>
          <w:szCs w:val="21"/>
        </w:rPr>
        <w:t xml:space="preserve">RF11 — Reportes: el sistema debe generar reportes básicos de inventario (existencias actuales, valorización del inventario, productos con mayor y menor rotación).</w:t>
      </w:r>
    </w:p>
    <w:p>
      <w:pPr>
        <w:pStyle w:val="ListParagraph"/>
        <w:numPr>
          <w:ilvl w:val="0"/>
          <w:numId w:val="4"/>
        </w:numPr>
        <w:spacing w:after="90" w:line="280"/>
        <w:jc w:val="both"/>
      </w:pPr>
      <w:r>
        <w:rPr>
          <w:rFonts w:ascii="Calibri" w:cs="Calibri" w:eastAsia="Calibri" w:hAnsi="Calibri"/>
          <w:sz w:val="21"/>
          <w:szCs w:val="21"/>
        </w:rPr>
        <w:t xml:space="preserve">RF12 — Búsqueda y filtrado: el sistema debe permitir buscar y filtrar productos por nombre, código, categoría o proveedor.</w:t>
      </w:r>
    </w:p>
    <w:p>
      <w:pPr>
        <w:pStyle w:val="ListParagraph"/>
        <w:numPr>
          <w:ilvl w:val="0"/>
          <w:numId w:val="4"/>
        </w:numPr>
        <w:spacing w:after="90" w:line="280"/>
        <w:jc w:val="both"/>
      </w:pPr>
      <w:r>
        <w:rPr>
          <w:rFonts w:ascii="Calibri" w:cs="Calibri" w:eastAsia="Calibri" w:hAnsi="Calibri"/>
          <w:sz w:val="21"/>
          <w:szCs w:val="21"/>
        </w:rPr>
        <w:t xml:space="preserve">RF13 — Gestión de devoluciones: el sistema debe permitir registrar devoluciones de productos, tanto de clientes como hacia proveedores, y reflejarlas en el stock.</w:t>
      </w:r>
    </w:p>
    <w:p>
      <w:pPr>
        <w:pStyle w:val="ListParagraph"/>
        <w:numPr>
          <w:ilvl w:val="0"/>
          <w:numId w:val="4"/>
        </w:numPr>
        <w:spacing w:after="90" w:line="280"/>
        <w:jc w:val="both"/>
      </w:pPr>
      <w:r>
        <w:rPr>
          <w:rFonts w:ascii="Calibri" w:cs="Calibri" w:eastAsia="Calibri" w:hAnsi="Calibri"/>
          <w:sz w:val="21"/>
          <w:szCs w:val="21"/>
        </w:rPr>
        <w:t xml:space="preserve">RF14 — Panel de indicadores (dashboard): el sistema debe presentar indicadores clave del inventario (rotación, quiebres de stock, valor total, entre otros).</w:t>
      </w:r>
    </w:p>
    <w:p>
      <w:pPr>
        <w:pStyle w:val="Heading3"/>
        <w:spacing w:after="100" w:before="200"/>
      </w:pPr>
      <w:r>
        <w:rPr>
          <w:rFonts w:ascii="Calibri" w:cs="Calibri" w:eastAsia="Calibri" w:hAnsi="Calibri"/>
          <w:b/>
          <w:bCs/>
          <w:color w:val="1F3864"/>
          <w:sz w:val="22"/>
          <w:szCs w:val="22"/>
        </w:rPr>
        <w:t xml:space="preserve">8.2 Requerimientos no funcionales (RNF)</w:t>
      </w:r>
    </w:p>
    <w:p>
      <w:pPr>
        <w:pStyle w:val="ListParagraph"/>
        <w:numPr>
          <w:ilvl w:val="0"/>
          <w:numId w:val="5"/>
        </w:numPr>
        <w:spacing w:after="90" w:line="280"/>
        <w:jc w:val="both"/>
      </w:pPr>
      <w:r>
        <w:rPr>
          <w:rFonts w:ascii="Calibri" w:cs="Calibri" w:eastAsia="Calibri" w:hAnsi="Calibri"/>
          <w:sz w:val="21"/>
          <w:szCs w:val="21"/>
        </w:rPr>
        <w:t xml:space="preserve">RNF01 — Arquitectura: el sistema debe estar construido bajo una arquitectura de microservicios, con servicios independientes y débilmente acoplados, comunicados mediante API REST y/o mensajería asíncrona.</w:t>
      </w:r>
    </w:p>
    <w:p>
      <w:pPr>
        <w:pStyle w:val="ListParagraph"/>
        <w:numPr>
          <w:ilvl w:val="0"/>
          <w:numId w:val="5"/>
        </w:numPr>
        <w:spacing w:after="90" w:line="280"/>
        <w:jc w:val="both"/>
      </w:pPr>
      <w:r>
        <w:rPr>
          <w:rFonts w:ascii="Calibri" w:cs="Calibri" w:eastAsia="Calibri" w:hAnsi="Calibri"/>
          <w:sz w:val="21"/>
          <w:szCs w:val="21"/>
        </w:rPr>
        <w:t xml:space="preserve">RNF02 — Persistencia independiente: cada microservicio debe gestionar su propia base de datos, evitando el acceso directo de un servicio a la base de datos de otro.</w:t>
      </w:r>
    </w:p>
    <w:p>
      <w:pPr>
        <w:pStyle w:val="ListParagraph"/>
        <w:numPr>
          <w:ilvl w:val="0"/>
          <w:numId w:val="5"/>
        </w:numPr>
        <w:spacing w:after="90" w:line="280"/>
        <w:jc w:val="both"/>
      </w:pPr>
      <w:r>
        <w:rPr>
          <w:rFonts w:ascii="Calibri" w:cs="Calibri" w:eastAsia="Calibri" w:hAnsi="Calibri"/>
          <w:sz w:val="21"/>
          <w:szCs w:val="21"/>
        </w:rPr>
        <w:t xml:space="preserve">RNF03 — Contenerización: todos los microservicios y sus dependencias (bases de datos, colas de mensajería, etc.) deben ejecutarse en contenedores Docker.</w:t>
      </w:r>
    </w:p>
    <w:p>
      <w:pPr>
        <w:pStyle w:val="ListParagraph"/>
        <w:numPr>
          <w:ilvl w:val="0"/>
          <w:numId w:val="5"/>
        </w:numPr>
        <w:spacing w:after="90" w:line="280"/>
        <w:jc w:val="both"/>
      </w:pPr>
      <w:r>
        <w:rPr>
          <w:rFonts w:ascii="Calibri" w:cs="Calibri" w:eastAsia="Calibri" w:hAnsi="Calibri"/>
          <w:sz w:val="21"/>
          <w:szCs w:val="21"/>
        </w:rPr>
        <w:t xml:space="preserve">RNF04 — Orquestación: el sistema debe desplegarse y gestionarse obligatoriamente mediante Kubernetes; el uso de Kubernetes no es opcional.</w:t>
      </w:r>
    </w:p>
    <w:p>
      <w:pPr>
        <w:pStyle w:val="ListParagraph"/>
        <w:numPr>
          <w:ilvl w:val="0"/>
          <w:numId w:val="5"/>
        </w:numPr>
        <w:spacing w:after="90" w:line="280"/>
        <w:jc w:val="both"/>
      </w:pPr>
      <w:r>
        <w:rPr>
          <w:rFonts w:ascii="Calibri" w:cs="Calibri" w:eastAsia="Calibri" w:hAnsi="Calibri"/>
          <w:sz w:val="21"/>
          <w:szCs w:val="21"/>
        </w:rPr>
        <w:t xml:space="preserve">RNF05 — Escalabilidad: la arquitectura debe permitir escalar de forma independiente los microservicios con mayor carga (por ejemplo, el de consulta de stock).</w:t>
      </w:r>
    </w:p>
    <w:p>
      <w:pPr>
        <w:pStyle w:val="ListParagraph"/>
        <w:numPr>
          <w:ilvl w:val="0"/>
          <w:numId w:val="5"/>
        </w:numPr>
        <w:spacing w:after="90" w:line="280"/>
        <w:jc w:val="both"/>
      </w:pPr>
      <w:r>
        <w:rPr>
          <w:rFonts w:ascii="Calibri" w:cs="Calibri" w:eastAsia="Calibri" w:hAnsi="Calibri"/>
          <w:sz w:val="21"/>
          <w:szCs w:val="21"/>
        </w:rPr>
        <w:t xml:space="preserve">RNF06 — Rendimiento: el sistema debe responder a las operaciones de consulta en un tiempo menor a 2 segundos bajo una carga concurrente definida y sustentada por el equipo.</w:t>
      </w:r>
    </w:p>
    <w:p>
      <w:pPr>
        <w:pStyle w:val="ListParagraph"/>
        <w:numPr>
          <w:ilvl w:val="0"/>
          <w:numId w:val="5"/>
        </w:numPr>
        <w:spacing w:after="90" w:line="280"/>
        <w:jc w:val="both"/>
      </w:pPr>
      <w:r>
        <w:rPr>
          <w:rFonts w:ascii="Calibri" w:cs="Calibri" w:eastAsia="Calibri" w:hAnsi="Calibri"/>
          <w:sz w:val="21"/>
          <w:szCs w:val="21"/>
        </w:rPr>
        <w:t xml:space="preserve">RNF07 — Seguridad: las comunicaciones y la autenticación deben protegerse mediante mecanismos estándar (por ejemplo, JWT/OAuth2, cifrado de contraseñas).</w:t>
      </w:r>
    </w:p>
    <w:p>
      <w:pPr>
        <w:pStyle w:val="ListParagraph"/>
        <w:numPr>
          <w:ilvl w:val="0"/>
          <w:numId w:val="5"/>
        </w:numPr>
        <w:spacing w:after="90" w:line="280"/>
        <w:jc w:val="both"/>
      </w:pPr>
      <w:r>
        <w:rPr>
          <w:rFonts w:ascii="Calibri" w:cs="Calibri" w:eastAsia="Calibri" w:hAnsi="Calibri"/>
          <w:sz w:val="21"/>
          <w:szCs w:val="21"/>
        </w:rPr>
        <w:t xml:space="preserve">RNF08 — Documentación de API: cada microservicio debe exponer documentación de su API (OpenAPI/Swagger o equivalente).</w:t>
      </w:r>
    </w:p>
    <w:p>
      <w:pPr>
        <w:pStyle w:val="ListParagraph"/>
        <w:numPr>
          <w:ilvl w:val="0"/>
          <w:numId w:val="5"/>
        </w:numPr>
        <w:spacing w:after="90" w:line="280"/>
        <w:jc w:val="both"/>
      </w:pPr>
      <w:r>
        <w:rPr>
          <w:rFonts w:ascii="Calibri" w:cs="Calibri" w:eastAsia="Calibri" w:hAnsi="Calibri"/>
          <w:sz w:val="21"/>
          <w:szCs w:val="21"/>
        </w:rPr>
        <w:t xml:space="preserve">RNF09 — API Gateway propio: todas las peticiones dirigidas al sistema deben pasar obligatoriamente por un API Gateway construido por el equipo; no se permite el uso de Kong ni de ninguna otra solución de gateway de terceros.</w:t>
      </w:r>
    </w:p>
    <w:p>
      <w:pPr>
        <w:pStyle w:val="ListParagraph"/>
        <w:numPr>
          <w:ilvl w:val="0"/>
          <w:numId w:val="5"/>
        </w:numPr>
        <w:spacing w:after="90" w:line="280"/>
        <w:jc w:val="both"/>
      </w:pPr>
      <w:r>
        <w:rPr>
          <w:rFonts w:ascii="Calibri" w:cs="Calibri" w:eastAsia="Calibri" w:hAnsi="Calibri"/>
          <w:sz w:val="21"/>
          <w:szCs w:val="21"/>
        </w:rPr>
        <w:t xml:space="preserve">RNF10 — Observabilidad: el sistema debe contar con registro (logging) centralizado o consultable de cada microservicio, y de forma deseable métricas básicas de monitoreo.</w:t>
      </w:r>
    </w:p>
    <w:p>
      <w:pPr>
        <w:pStyle w:val="ListParagraph"/>
        <w:numPr>
          <w:ilvl w:val="0"/>
          <w:numId w:val="5"/>
        </w:numPr>
        <w:spacing w:after="90" w:line="280"/>
        <w:jc w:val="both"/>
      </w:pPr>
      <w:r>
        <w:rPr>
          <w:rFonts w:ascii="Calibri" w:cs="Calibri" w:eastAsia="Calibri" w:hAnsi="Calibri"/>
          <w:sz w:val="21"/>
          <w:szCs w:val="21"/>
        </w:rPr>
        <w:t xml:space="preserve">RNF11 — Pruebas de rendimiento: cada integrante del equipo debe definir y ejecutar un mínimo de quince (15) pruebas de rendimiento sobre los endpoints que él mismo defina, con sus resultados documentados.</w:t>
      </w:r>
    </w:p>
    <w:p>
      <w:pPr>
        <w:pStyle w:val="ListParagraph"/>
        <w:numPr>
          <w:ilvl w:val="0"/>
          <w:numId w:val="5"/>
        </w:numPr>
        <w:spacing w:after="90" w:line="280"/>
        <w:jc w:val="both"/>
      </w:pPr>
      <w:r>
        <w:rPr>
          <w:rFonts w:ascii="Calibri" w:cs="Calibri" w:eastAsia="Calibri" w:hAnsi="Calibri"/>
          <w:sz w:val="21"/>
          <w:szCs w:val="21"/>
        </w:rPr>
        <w:t xml:space="preserve">RNF12 — Control de versiones en GitHub: todo el proyecto debe alojarse en un repositorio de GitHub por equipo, en el cual debe evidenciarse la actividad (commits, ramas y pull requests) de todos los integrantes.</w:t>
      </w:r>
    </w:p>
    <w:p>
      <w:pPr>
        <w:pStyle w:val="ListParagraph"/>
        <w:numPr>
          <w:ilvl w:val="0"/>
          <w:numId w:val="5"/>
        </w:numPr>
        <w:spacing w:after="90" w:line="280"/>
        <w:jc w:val="both"/>
      </w:pPr>
      <w:r>
        <w:rPr>
          <w:rFonts w:ascii="Calibri" w:cs="Calibri" w:eastAsia="Calibri" w:hAnsi="Calibri"/>
          <w:sz w:val="21"/>
          <w:szCs w:val="21"/>
        </w:rPr>
        <w:t xml:space="preserve">RNF13 — Mantenibilidad: el código debe seguir buenas prácticas de diseño (bajo acoplamiento, alta cohesión).</w:t>
      </w:r>
    </w:p>
    <w:p>
      <w:pPr>
        <w:pStyle w:val="ListParagraph"/>
        <w:numPr>
          <w:ilvl w:val="0"/>
          <w:numId w:val="5"/>
        </w:numPr>
        <w:spacing w:after="90" w:line="280"/>
        <w:jc w:val="both"/>
      </w:pPr>
      <w:r>
        <w:rPr>
          <w:rFonts w:ascii="Calibri" w:cs="Calibri" w:eastAsia="Calibri" w:hAnsi="Calibri"/>
          <w:sz w:val="21"/>
          <w:szCs w:val="21"/>
        </w:rPr>
        <w:t xml:space="preserve">RNF14 — Portabilidad: gracias a la contenerización, el sistema debe poder desplegarse en cualquier entorno compatible con Docker y Kubernetes sin cambios en el código fuente.</w:t>
      </w:r>
    </w:p>
    <w:p>
      <w:pPr>
        <w:pStyle w:val="ListParagraph"/>
        <w:numPr>
          <w:ilvl w:val="0"/>
          <w:numId w:val="5"/>
        </w:numPr>
        <w:spacing w:after="90" w:line="280"/>
        <w:jc w:val="both"/>
      </w:pPr>
      <w:r>
        <w:rPr>
          <w:rFonts w:ascii="Calibri" w:cs="Calibri" w:eastAsia="Calibri" w:hAnsi="Calibri"/>
          <w:sz w:val="21"/>
          <w:szCs w:val="21"/>
        </w:rPr>
        <w:t xml:space="preserve">RNF15 — Tecnologías permitidas: únicamente pueden emplearse los lenguajes, frameworks, bases de datos y demás herramientas vistas y trabajadas durante las clases del curso.</w:t>
      </w:r>
    </w:p>
    <w:p>
      <w:pPr>
        <w:pStyle w:val="ListParagraph"/>
        <w:numPr>
          <w:ilvl w:val="0"/>
          <w:numId w:val="5"/>
        </w:numPr>
        <w:spacing w:after="90" w:line="280"/>
        <w:jc w:val="both"/>
      </w:pPr>
      <w:r>
        <w:rPr>
          <w:rFonts w:ascii="Calibri" w:cs="Calibri" w:eastAsia="Calibri" w:hAnsi="Calibri"/>
          <w:sz w:val="21"/>
          <w:szCs w:val="21"/>
        </w:rPr>
        <w:t xml:space="preserve">RNF16 — Uso documentado de IA: el proceso de desarrollo debe evidenciar, mediante las bitácoras correspondientes, el uso crítico y comprendido de herramientas de inteligencia artificial.</w:t>
      </w:r>
    </w:p>
    <w:p>
      <w:pPr>
        <w:pStyle w:val="Heading1"/>
        <w:pBdr>
          <w:bottom w:val="single" w:color="1F3864" w:sz="8" w:space="4"/>
        </w:pBdr>
        <w:spacing w:after="160" w:before="360"/>
      </w:pPr>
      <w:r>
        <w:rPr>
          <w:rFonts w:ascii="Calibri" w:cs="Calibri" w:eastAsia="Calibri" w:hAnsi="Calibri"/>
          <w:b/>
          <w:bCs/>
          <w:color w:val="1F3864"/>
          <w:sz w:val="30"/>
          <w:szCs w:val="30"/>
        </w:rPr>
        <w:t xml:space="preserve">9. Cronograma de entregas</w:t>
      </w:r>
    </w:p>
    <w:p>
      <w:pPr>
        <w:spacing w:after="160" w:line="300"/>
        <w:jc w:val="both"/>
      </w:pPr>
      <w:r>
        <w:rPr>
          <w:rFonts w:ascii="Calibri" w:cs="Calibri" w:eastAsia="Calibri" w:hAnsi="Calibri"/>
          <w:sz w:val="21"/>
          <w:szCs w:val="21"/>
        </w:rPr>
        <w:t xml:space="preserve">El proyecto se desarrolla en cuatro (4) entregas obligatorias, distribuidas entre el 28 de septiembre y el 12 de diciembre. Todas las entregas deben sustentarse oralmente; de este proceso continuo —y no únicamente del producto final— se deriva la nota del proyecto. Las calificaciones de cada entrega se realizarán en los espacios de clase destinados para tal fin; no se calificarán entregas por fuera de dichos espacios.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900"/>
        <w:gridCol w:w="1400"/>
        <w:gridCol w:w="1180"/>
      </w:tblGrid>
      <w:tr>
        <w:trPr>
          <w:tblHeader/>
        </w:trPr>
        <w:tc>
          <w:tcPr>
            <w:tcW w:type="dxa" w:w="1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Entrega</w:t>
            </w:r>
          </w:p>
        </w:tc>
        <w:tc>
          <w:tcPr>
            <w:tcW w:type="dxa" w:w="2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Fecha / Fase ABP</w:t>
            </w:r>
          </w:p>
        </w:tc>
        <w:tc>
          <w:tcPr>
            <w:tcW w:type="dxa" w:w="3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Contenido de la entrega</w:t>
            </w:r>
          </w:p>
        </w:tc>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Sustentación</w:t>
            </w:r>
          </w:p>
        </w:tc>
        <w:tc>
          <w:tcPr>
            <w:tcW w:type="dxa" w:w="11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 Nota</w:t>
            </w:r>
          </w:p>
        </w:tc>
      </w:tr>
      <w:tr>
        <w:tc>
          <w:tcPr>
            <w:tcW w:type="dxa" w:w="1300"/>
            <w:shd w:fill="FFFFFF"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Entrega 1</w:t>
            </w:r>
          </w:p>
        </w:tc>
        <w:tc>
          <w:tcPr>
            <w:tcW w:type="dxa" w:w="2300"/>
            <w:shd w:fill="FFFFFF" w:val="clear"/>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28 de septiembre
(Investigación y fundamentación)</w:t>
            </w:r>
          </w:p>
        </w:tc>
        <w:tc>
          <w:tcPr>
            <w:tcW w:type="dxa" w:w="3900"/>
            <w:shd w:fill="FFFFFF" w:val="clear"/>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 Investigación de al menos 3 sistemas similares de gestión de inventarios (comparativo de funcionalidades, fortalezas y debilidades).
• Definición del problema y alcance del sistema a construir.
• Justificación técnica de la arquitectura de microservicios frente a una arquitectura monolítica.
• Identificación preliminar de los microservicios (dominios/bounded contexts).
• Documento de requerimientos funcionales y no funcionales.
• Repositorio de GitHub creado, con evidencia inicial de actividad de todos los integrantes.
• Bitácora de uso de IA de la fase.</w:t>
            </w:r>
          </w:p>
        </w:tc>
        <w:tc>
          <w:tcPr>
            <w:tcW w:type="dxa" w:w="14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Oral, 10–15 min por equipo</w:t>
            </w:r>
          </w:p>
        </w:tc>
        <w:tc>
          <w:tcPr>
            <w:tcW w:type="dxa" w:w="1180"/>
            <w:shd w:fill="FFFFFF"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20%</w:t>
            </w:r>
          </w:p>
        </w:tc>
      </w:tr>
      <w:tr>
        <w:tc>
          <w:tcPr>
            <w:tcW w:type="dxa" w:w="1300"/>
            <w:shd w:fill="DCE6F1"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Entrega 2</w:t>
            </w:r>
          </w:p>
        </w:tc>
        <w:tc>
          <w:tcPr>
            <w:tcW w:type="dxa" w:w="2300"/>
            <w:shd w:fill="DCE6F1" w:val="clear"/>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26 de octubre
(Diseño y arquitectura)</w:t>
            </w:r>
          </w:p>
        </w:tc>
        <w:tc>
          <w:tcPr>
            <w:tcW w:type="dxa" w:w="3900"/>
            <w:shd w:fill="DCE6F1" w:val="clear"/>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 Diagrama de arquitectura de microservicios (componentes, comunicación, API Gateway propio, Service Discovery, etc.).
• Diseño de contratos de API por microservicio (OpenAPI/Swagger).
• Modelo de datos por microservicio (diagrama entidad-relación).
• Estrategia de contenerización y de orquestación planeada (Dockerfiles y manifiestos de Kubernetes).
• Plan de las 15 pruebas de rendimiento por integrante.
• Actividad de todos los integrantes evidenciada en GitHub.
• Bitácora de uso de IA de la fase.</w:t>
            </w:r>
          </w:p>
        </w:tc>
        <w:tc>
          <w:tcPr>
            <w:tcW w:type="dxa" w:w="1400"/>
            <w:shd w:fill="DCE6F1"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Oral + entrega de diagramas</w:t>
            </w:r>
          </w:p>
        </w:tc>
        <w:tc>
          <w:tcPr>
            <w:tcW w:type="dxa" w:w="1180"/>
            <w:shd w:fill="DCE6F1"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20%</w:t>
            </w:r>
          </w:p>
        </w:tc>
      </w:tr>
      <w:tr>
        <w:tc>
          <w:tcPr>
            <w:tcW w:type="dxa" w:w="1300"/>
            <w:shd w:fill="FFFFFF"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Entrega 3</w:t>
            </w:r>
          </w:p>
        </w:tc>
        <w:tc>
          <w:tcPr>
            <w:tcW w:type="dxa" w:w="2300"/>
            <w:shd w:fill="FFFFFF" w:val="clear"/>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23 de noviembre
(Implementación e integración)</w:t>
            </w:r>
          </w:p>
        </w:tc>
        <w:tc>
          <w:tcPr>
            <w:tcW w:type="dxa" w:w="3900"/>
            <w:shd w:fill="FFFFFF" w:val="clear"/>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 Microservicios core implementados y funcionales, accesibles únicamente a través del API Gateway propio.
• Comunicación entre microservicios (REST y/o mensajería asíncrona).
• Contenerización individual (Dockerfile) y despliegue orquestado inicial en Kubernetes.
• Avance de las 15 pruebas de rendimiento por integrante, con resultados preliminares.
• Actividad de todos los integrantes evidenciada en GitHub.
• Bitácora de uso de IA de la fase.</w:t>
            </w:r>
          </w:p>
        </w:tc>
        <w:tc>
          <w:tcPr>
            <w:tcW w:type="dxa" w:w="1400"/>
            <w:shd w:fill="FFFFFF"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Demo funcional en vivo</w:t>
            </w:r>
          </w:p>
        </w:tc>
        <w:tc>
          <w:tcPr>
            <w:tcW w:type="dxa" w:w="1180"/>
            <w:shd w:fill="FFFFFF"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25%</w:t>
            </w:r>
          </w:p>
        </w:tc>
      </w:tr>
      <w:tr>
        <w:tc>
          <w:tcPr>
            <w:tcW w:type="dxa" w:w="1300"/>
            <w:shd w:fill="DCE6F1"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Entrega 4</w:t>
            </w:r>
          </w:p>
        </w:tc>
        <w:tc>
          <w:tcPr>
            <w:tcW w:type="dxa" w:w="2300"/>
            <w:shd w:fill="DCE6F1" w:val="clear"/>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12 de diciembre
(Cierre y sustentación final)</w:t>
            </w:r>
          </w:p>
        </w:tc>
        <w:tc>
          <w:tcPr>
            <w:tcW w:type="dxa" w:w="3900"/>
            <w:shd w:fill="DCE6F1" w:val="clear"/>
            <w:tcMar>
              <w:top w:type="dxa" w:w="80"/>
              <w:left w:type="dxa" w:w="100"/>
              <w:bottom w:type="dxa" w:w="80"/>
              <w:right w:type="dxa" w:w="100"/>
            </w:tcMar>
            <w:vAlign w:val="center"/>
          </w:tcPr>
          <w:p>
            <w:pPr>
              <w:jc w:val="both"/>
            </w:pPr>
            <w:r>
              <w:rPr>
                <w:rFonts w:ascii="Calibri" w:cs="Calibri" w:eastAsia="Calibri" w:hAnsi="Calibri"/>
                <w:b w:val="false"/>
                <w:bCs w:val="false"/>
                <w:color w:val="000000"/>
                <w:sz w:val="19"/>
                <w:szCs w:val="19"/>
              </w:rPr>
              <w:t xml:space="preserve">• Sistema completo, desplegado y contenerizado, con todas las peticiones pasando por el API Gateway propio.
• Gestión de contenedores en Kubernetes: despliegues, servicios, redes, volúmenes y escalado.
• Resultados finales de las 15 pruebas de rendimiento por integrante (carga, estrés y comparación antes/después de optimizaciones).
• Documentación técnica completa (arquitectura final, manual de instalación, documentación de API) alojada en el repositorio de GitHub, con actividad evidenciada de todos los integrantes.
• Bitácora de IA consolidada + reflexión final sobre su uso en el proyecto.</w:t>
            </w:r>
          </w:p>
        </w:tc>
        <w:tc>
          <w:tcPr>
            <w:tcW w:type="dxa" w:w="1400"/>
            <w:shd w:fill="DCE6F1" w:val="clear"/>
            <w:tcMar>
              <w:top w:type="dxa" w:w="80"/>
              <w:left w:type="dxa" w:w="100"/>
              <w:bottom w:type="dxa" w:w="80"/>
              <w:right w:type="dxa" w:w="100"/>
            </w:tcMar>
            <w:vAlign w:val="center"/>
          </w:tcPr>
          <w:p>
            <w:pPr>
              <w:jc w:val="center"/>
            </w:pPr>
            <w:r>
              <w:rPr>
                <w:rFonts w:ascii="Calibri" w:cs="Calibri" w:eastAsia="Calibri" w:hAnsi="Calibri"/>
                <w:b w:val="false"/>
                <w:bCs w:val="false"/>
                <w:color w:val="000000"/>
                <w:sz w:val="19"/>
                <w:szCs w:val="19"/>
              </w:rPr>
              <w:t xml:space="preserve">Sustentación final con demo en vivo ante docente/jurado</w:t>
            </w:r>
          </w:p>
        </w:tc>
        <w:tc>
          <w:tcPr>
            <w:tcW w:type="dxa" w:w="1180"/>
            <w:shd w:fill="DCE6F1" w:val="clear"/>
            <w:tcMar>
              <w:top w:type="dxa" w:w="80"/>
              <w:left w:type="dxa" w:w="100"/>
              <w:bottom w:type="dxa" w:w="80"/>
              <w:right w:type="dxa" w:w="100"/>
            </w:tcMar>
            <w:vAlign w:val="center"/>
          </w:tcPr>
          <w:p>
            <w:pPr>
              <w:jc w:val="center"/>
            </w:pPr>
            <w:r>
              <w:rPr>
                <w:rFonts w:ascii="Calibri" w:cs="Calibri" w:eastAsia="Calibri" w:hAnsi="Calibri"/>
                <w:b/>
                <w:bCs/>
                <w:color w:val="000000"/>
                <w:sz w:val="19"/>
                <w:szCs w:val="19"/>
              </w:rPr>
              <w:t xml:space="preserve">35%</w:t>
            </w:r>
          </w:p>
        </w:tc>
      </w:tr>
    </w:tbl>
    <w:p>
      <w:pPr>
        <w:pStyle w:val="Heading1"/>
        <w:pBdr>
          <w:bottom w:val="single" w:color="1F3864" w:sz="8" w:space="4"/>
        </w:pBdr>
        <w:spacing w:after="160" w:before="360"/>
      </w:pPr>
      <w:r>
        <w:rPr>
          <w:rFonts w:ascii="Calibri" w:cs="Calibri" w:eastAsia="Calibri" w:hAnsi="Calibri"/>
          <w:b/>
          <w:bCs/>
          <w:color w:val="1F3864"/>
          <w:sz w:val="30"/>
          <w:szCs w:val="30"/>
        </w:rPr>
        <w:t xml:space="preserve">10. Criterios generales de evaluación</w:t>
      </w:r>
    </w:p>
    <w:p>
      <w:pPr>
        <w:pStyle w:val="ListParagraph"/>
        <w:numPr>
          <w:ilvl w:val="0"/>
          <w:numId w:val="3"/>
        </w:numPr>
        <w:spacing w:after="90" w:line="280"/>
        <w:jc w:val="both"/>
      </w:pPr>
      <w:r>
        <w:rPr>
          <w:rFonts w:ascii="Calibri" w:cs="Calibri" w:eastAsia="Calibri" w:hAnsi="Calibri"/>
          <w:b w:val="false"/>
          <w:bCs w:val="false"/>
          <w:sz w:val="21"/>
          <w:szCs w:val="21"/>
        </w:rPr>
        <w:t xml:space="preserve">Calidad y profundidad de la investigación y de las decisiones de arquitectura, debidamente justificadas.</w:t>
      </w:r>
    </w:p>
    <w:p>
      <w:pPr>
        <w:pStyle w:val="ListParagraph"/>
        <w:numPr>
          <w:ilvl w:val="0"/>
          <w:numId w:val="3"/>
        </w:numPr>
        <w:spacing w:after="90" w:line="280"/>
        <w:jc w:val="both"/>
      </w:pPr>
      <w:r>
        <w:rPr>
          <w:rFonts w:ascii="Calibri" w:cs="Calibri" w:eastAsia="Calibri" w:hAnsi="Calibri"/>
          <w:b w:val="false"/>
          <w:bCs w:val="false"/>
          <w:sz w:val="21"/>
          <w:szCs w:val="21"/>
        </w:rPr>
        <w:t xml:space="preserve">Funcionalidad real del sistema entregado frente a los requerimientos definidos.</w:t>
      </w:r>
    </w:p>
    <w:p>
      <w:pPr>
        <w:pStyle w:val="ListParagraph"/>
        <w:numPr>
          <w:ilvl w:val="0"/>
          <w:numId w:val="3"/>
        </w:numPr>
        <w:spacing w:after="90" w:line="280"/>
        <w:jc w:val="both"/>
      </w:pPr>
      <w:r>
        <w:rPr>
          <w:rFonts w:ascii="Calibri" w:cs="Calibri" w:eastAsia="Calibri" w:hAnsi="Calibri"/>
          <w:b w:val="false"/>
          <w:bCs w:val="false"/>
          <w:sz w:val="21"/>
          <w:szCs w:val="21"/>
        </w:rPr>
        <w:t xml:space="preserve">Correcta aplicación de los principios de microservicios y buenas prácticas de contenerización y orquestación en Kubernetes.</w:t>
      </w:r>
    </w:p>
    <w:p>
      <w:pPr>
        <w:pStyle w:val="ListParagraph"/>
        <w:numPr>
          <w:ilvl w:val="0"/>
          <w:numId w:val="3"/>
        </w:numPr>
        <w:spacing w:after="90" w:line="280"/>
        <w:jc w:val="both"/>
      </w:pPr>
      <w:r>
        <w:rPr>
          <w:rFonts w:ascii="Calibri" w:cs="Calibri" w:eastAsia="Calibri" w:hAnsi="Calibri"/>
          <w:b w:val="false"/>
          <w:bCs w:val="false"/>
          <w:sz w:val="21"/>
          <w:szCs w:val="21"/>
        </w:rPr>
        <w:t xml:space="preserve">Correcto funcionamiento del API Gateway propio como único punto de entrada al sistema.</w:t>
      </w:r>
    </w:p>
    <w:p>
      <w:pPr>
        <w:pStyle w:val="ListParagraph"/>
        <w:numPr>
          <w:ilvl w:val="0"/>
          <w:numId w:val="3"/>
        </w:numPr>
        <w:spacing w:after="90" w:line="280"/>
        <w:jc w:val="both"/>
      </w:pPr>
      <w:r>
        <w:rPr>
          <w:rFonts w:ascii="Calibri" w:cs="Calibri" w:eastAsia="Calibri" w:hAnsi="Calibri"/>
          <w:b w:val="false"/>
          <w:bCs w:val="false"/>
          <w:sz w:val="21"/>
          <w:szCs w:val="21"/>
        </w:rPr>
        <w:t xml:space="preserve">Rigor y análisis crítico en las 15 pruebas de rendimiento realizadas por cada integrante.</w:t>
      </w:r>
    </w:p>
    <w:p>
      <w:pPr>
        <w:pStyle w:val="ListParagraph"/>
        <w:numPr>
          <w:ilvl w:val="0"/>
          <w:numId w:val="3"/>
        </w:numPr>
        <w:spacing w:after="90" w:line="280"/>
        <w:jc w:val="both"/>
      </w:pPr>
      <w:r>
        <w:rPr>
          <w:rFonts w:ascii="Calibri" w:cs="Calibri" w:eastAsia="Calibri" w:hAnsi="Calibri"/>
          <w:b w:val="false"/>
          <w:bCs w:val="false"/>
          <w:sz w:val="21"/>
          <w:szCs w:val="21"/>
        </w:rPr>
        <w:t xml:space="preserve">Calidad, honestidad y nivel de reflexión de las bitácoras de uso de IA.</w:t>
      </w:r>
    </w:p>
    <w:p>
      <w:pPr>
        <w:pStyle w:val="ListParagraph"/>
        <w:numPr>
          <w:ilvl w:val="0"/>
          <w:numId w:val="3"/>
        </w:numPr>
        <w:spacing w:after="90" w:line="280"/>
        <w:jc w:val="both"/>
      </w:pPr>
      <w:r>
        <w:rPr>
          <w:rFonts w:ascii="Calibri" w:cs="Calibri" w:eastAsia="Calibri" w:hAnsi="Calibri"/>
          <w:b w:val="false"/>
          <w:bCs w:val="false"/>
          <w:sz w:val="21"/>
          <w:szCs w:val="21"/>
        </w:rPr>
        <w:t xml:space="preserve">Claridad, dominio del tema y capacidad de respuesta de todos los integrantes durante cada sustentación, realizada en los espacios de clase.</w:t>
      </w:r>
    </w:p>
    <w:p>
      <w:pPr>
        <w:pStyle w:val="ListParagraph"/>
        <w:numPr>
          <w:ilvl w:val="0"/>
          <w:numId w:val="3"/>
        </w:numPr>
        <w:spacing w:after="90" w:line="280"/>
        <w:jc w:val="both"/>
      </w:pPr>
      <w:r>
        <w:rPr>
          <w:rFonts w:ascii="Calibri" w:cs="Calibri" w:eastAsia="Calibri" w:hAnsi="Calibri"/>
          <w:b w:val="false"/>
          <w:bCs w:val="false"/>
          <w:sz w:val="21"/>
          <w:szCs w:val="21"/>
        </w:rPr>
        <w:t xml:space="preserve">Evidencia individual de trabajo en el repositorio de GitHub del equipo (commits, ramas y pull requests) de todos los integrantes.</w:t>
      </w:r>
    </w:p>
    <w:p>
      <w:pPr>
        <w:pStyle w:val="ListParagraph"/>
        <w:numPr>
          <w:ilvl w:val="0"/>
          <w:numId w:val="3"/>
        </w:numPr>
        <w:spacing w:after="90" w:line="280"/>
        <w:jc w:val="both"/>
      </w:pPr>
      <w:r>
        <w:rPr>
          <w:rFonts w:ascii="Calibri" w:cs="Calibri" w:eastAsia="Calibri" w:hAnsi="Calibri"/>
          <w:b w:val="false"/>
          <w:bCs w:val="false"/>
          <w:sz w:val="21"/>
          <w:szCs w:val="21"/>
        </w:rPr>
        <w:t xml:space="preserve">Uso exclusivo de tecnologías vistas y trabajadas en clase.</w:t>
      </w:r>
    </w:p>
    <w:p>
      <w:pPr>
        <w:spacing w:before="4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Calibri" w:cs="Calibri" w:eastAsia="Calibri" w:hAnsi="Calibri"/>
        <w:i/>
        <w:iCs/>
        <w:color w:val="595959"/>
        <w:sz w:val="16"/>
        <w:szCs w:val="16"/>
      </w:rPr>
      <w:t xml:space="preserve">Ingeniería de Software II — Proyecto de Aula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2026-09-14T11:50:02.546Z</dcterms:created>
  <dcterms:modified xsi:type="dcterms:W3CDTF">2026-09-14T11:50:02.558Z</dcterms:modified>
</cp:coreProperties>
</file>

<file path=docProps/custom.xml><?xml version="1.0" encoding="utf-8"?>
<Properties xmlns="http://schemas.openxmlformats.org/officeDocument/2006/custom-properties" xmlns:vt="http://schemas.openxmlformats.org/officeDocument/2006/docPropsVTypes"/>
</file>