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2BE0E" w14:textId="77777777" w:rsidR="001522EB" w:rsidRDefault="0013026C">
      <w:pPr>
        <w:pStyle w:val="Ttulo"/>
        <w:spacing w:after="0"/>
      </w:pPr>
      <w:r>
        <w:rPr>
          <w:noProof/>
        </w:rPr>
        <w:drawing>
          <wp:inline distT="0" distB="0" distL="0" distR="0" wp14:anchorId="0BF14125" wp14:editId="415CD360">
            <wp:extent cx="1800000" cy="20149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00000" cy="2014955"/>
                    </a:xfrm>
                    <a:prstGeom prst="rect">
                      <a:avLst/>
                    </a:prstGeom>
                    <a:ln/>
                  </pic:spPr>
                </pic:pic>
              </a:graphicData>
            </a:graphic>
          </wp:inline>
        </w:drawing>
      </w:r>
    </w:p>
    <w:p w14:paraId="72320330" w14:textId="77777777" w:rsidR="001522EB" w:rsidRDefault="001522EB">
      <w:pPr>
        <w:pStyle w:val="Ttulo"/>
        <w:spacing w:before="0" w:after="0"/>
      </w:pPr>
    </w:p>
    <w:p w14:paraId="03B13C0E" w14:textId="77777777" w:rsidR="001522EB" w:rsidRDefault="001522EB">
      <w:pPr>
        <w:pStyle w:val="Ttulo"/>
        <w:spacing w:before="0" w:after="0"/>
      </w:pPr>
    </w:p>
    <w:p w14:paraId="4159A30D" w14:textId="77777777" w:rsidR="001522EB" w:rsidRDefault="0013026C">
      <w:pPr>
        <w:pStyle w:val="Ttulo"/>
        <w:spacing w:before="0"/>
      </w:pPr>
      <w:r>
        <w:t>Sistema de gestión de inventarios basado en microservicios</w:t>
      </w:r>
    </w:p>
    <w:p w14:paraId="26D10BE1" w14:textId="77777777" w:rsidR="001522EB" w:rsidRDefault="0013026C">
      <w:pPr>
        <w:spacing w:before="240" w:after="60" w:line="240" w:lineRule="auto"/>
        <w:jc w:val="center"/>
      </w:pPr>
      <w:r>
        <w:rPr>
          <w:color w:val="000000"/>
          <w:sz w:val="32"/>
          <w:szCs w:val="32"/>
        </w:rPr>
        <w:t>Entrega 1: investigación y fundamentación</w:t>
      </w:r>
    </w:p>
    <w:p w14:paraId="3CC18EA1" w14:textId="77777777" w:rsidR="001522EB" w:rsidRDefault="0013026C">
      <w:pPr>
        <w:spacing w:after="0" w:line="240" w:lineRule="auto"/>
        <w:jc w:val="center"/>
      </w:pPr>
      <w:r>
        <w:rPr>
          <w:color w:val="404040"/>
          <w:sz w:val="26"/>
          <w:szCs w:val="26"/>
        </w:rPr>
        <w:t>Proyecto de aula · Ingeniería de Software II</w:t>
      </w:r>
    </w:p>
    <w:p w14:paraId="688992CC" w14:textId="77777777" w:rsidR="001522EB" w:rsidRDefault="001522EB">
      <w:pPr>
        <w:spacing w:after="0" w:line="240" w:lineRule="auto"/>
        <w:jc w:val="center"/>
        <w:rPr>
          <w:rFonts w:ascii="Calibri" w:eastAsia="Calibri" w:hAnsi="Calibri" w:cs="Calibri"/>
          <w:sz w:val="24"/>
          <w:szCs w:val="24"/>
        </w:rPr>
      </w:pPr>
    </w:p>
    <w:p w14:paraId="00D193ED" w14:textId="77777777" w:rsidR="001522EB" w:rsidRDefault="001522EB">
      <w:pPr>
        <w:spacing w:after="0" w:line="240" w:lineRule="auto"/>
        <w:jc w:val="center"/>
        <w:rPr>
          <w:rFonts w:ascii="Calibri" w:eastAsia="Calibri" w:hAnsi="Calibri" w:cs="Calibri"/>
          <w:sz w:val="24"/>
          <w:szCs w:val="24"/>
        </w:rPr>
      </w:pPr>
    </w:p>
    <w:p w14:paraId="03248939" w14:textId="77777777" w:rsidR="001522EB" w:rsidRDefault="001522EB">
      <w:pPr>
        <w:spacing w:after="0" w:line="240" w:lineRule="auto"/>
        <w:jc w:val="center"/>
        <w:rPr>
          <w:rFonts w:ascii="Calibri" w:eastAsia="Calibri" w:hAnsi="Calibri" w:cs="Calibri"/>
          <w:sz w:val="24"/>
          <w:szCs w:val="24"/>
        </w:rPr>
      </w:pPr>
    </w:p>
    <w:p w14:paraId="2BB103EF" w14:textId="77777777" w:rsidR="001522EB" w:rsidRDefault="0013026C">
      <w:pPr>
        <w:spacing w:after="0" w:line="240" w:lineRule="auto"/>
        <w:jc w:val="center"/>
        <w:rPr>
          <w:b/>
          <w:bCs/>
          <w:sz w:val="32"/>
          <w:szCs w:val="32"/>
        </w:rPr>
      </w:pPr>
      <w:r>
        <w:rPr>
          <w:b/>
          <w:bCs/>
          <w:sz w:val="32"/>
          <w:szCs w:val="32"/>
        </w:rPr>
        <w:t>Daniel Stiven Bahamon Quintero</w:t>
      </w:r>
    </w:p>
    <w:p w14:paraId="40F0BDF4" w14:textId="77777777" w:rsidR="001522EB" w:rsidRDefault="0013026C">
      <w:pPr>
        <w:spacing w:after="0" w:line="240" w:lineRule="auto"/>
        <w:jc w:val="center"/>
        <w:rPr>
          <w:b/>
          <w:bCs/>
          <w:sz w:val="32"/>
          <w:szCs w:val="32"/>
        </w:rPr>
      </w:pPr>
      <w:r>
        <w:rPr>
          <w:b/>
          <w:bCs/>
          <w:sz w:val="32"/>
          <w:szCs w:val="32"/>
        </w:rPr>
        <w:t>Oscar David Gomez Mosquera</w:t>
      </w:r>
    </w:p>
    <w:p w14:paraId="6EB407D3" w14:textId="77777777" w:rsidR="001522EB" w:rsidRDefault="0013026C">
      <w:pPr>
        <w:spacing w:after="0" w:line="240" w:lineRule="auto"/>
        <w:jc w:val="center"/>
        <w:rPr>
          <w:b/>
          <w:bCs/>
          <w:sz w:val="32"/>
          <w:szCs w:val="32"/>
        </w:rPr>
      </w:pPr>
      <w:r>
        <w:rPr>
          <w:b/>
          <w:bCs/>
          <w:sz w:val="32"/>
          <w:szCs w:val="32"/>
        </w:rPr>
        <w:t>Andrés Hernández</w:t>
      </w:r>
    </w:p>
    <w:p w14:paraId="0B9D2B6F" w14:textId="77777777" w:rsidR="001522EB" w:rsidRDefault="001522EB">
      <w:pPr>
        <w:pBdr>
          <w:top w:val="nil"/>
          <w:left w:val="nil"/>
          <w:bottom w:val="nil"/>
          <w:right w:val="nil"/>
          <w:between w:val="nil"/>
        </w:pBdr>
        <w:spacing w:after="0" w:line="360" w:lineRule="auto"/>
        <w:jc w:val="center"/>
        <w:rPr>
          <w:color w:val="000000"/>
        </w:rPr>
      </w:pPr>
    </w:p>
    <w:p w14:paraId="2797E584" w14:textId="77777777" w:rsidR="001522EB" w:rsidRDefault="001522EB">
      <w:pPr>
        <w:pBdr>
          <w:top w:val="nil"/>
          <w:left w:val="nil"/>
          <w:bottom w:val="nil"/>
          <w:right w:val="nil"/>
          <w:between w:val="nil"/>
        </w:pBdr>
        <w:spacing w:after="0" w:line="360" w:lineRule="auto"/>
        <w:jc w:val="center"/>
        <w:rPr>
          <w:color w:val="000000"/>
        </w:rPr>
      </w:pPr>
    </w:p>
    <w:p w14:paraId="094CC888" w14:textId="77777777" w:rsidR="001522EB" w:rsidRDefault="001522EB">
      <w:pPr>
        <w:pBdr>
          <w:top w:val="nil"/>
          <w:left w:val="nil"/>
          <w:bottom w:val="nil"/>
          <w:right w:val="nil"/>
          <w:between w:val="nil"/>
        </w:pBdr>
        <w:spacing w:after="0" w:line="360" w:lineRule="auto"/>
        <w:jc w:val="center"/>
        <w:rPr>
          <w:color w:val="000000"/>
        </w:rPr>
      </w:pPr>
    </w:p>
    <w:p w14:paraId="61B5B922" w14:textId="77777777" w:rsidR="001522EB" w:rsidRDefault="001522EB">
      <w:pPr>
        <w:pBdr>
          <w:top w:val="nil"/>
          <w:left w:val="nil"/>
          <w:bottom w:val="nil"/>
          <w:right w:val="nil"/>
          <w:between w:val="nil"/>
        </w:pBdr>
        <w:spacing w:after="0" w:line="360" w:lineRule="auto"/>
        <w:jc w:val="center"/>
        <w:rPr>
          <w:color w:val="000000"/>
        </w:rPr>
      </w:pPr>
    </w:p>
    <w:p w14:paraId="138C423E" w14:textId="77777777" w:rsidR="001522EB" w:rsidRDefault="0013026C">
      <w:pPr>
        <w:pBdr>
          <w:top w:val="nil"/>
          <w:left w:val="nil"/>
          <w:bottom w:val="nil"/>
          <w:right w:val="nil"/>
          <w:between w:val="nil"/>
        </w:pBdr>
        <w:spacing w:after="0" w:line="360" w:lineRule="auto"/>
        <w:jc w:val="center"/>
        <w:rPr>
          <w:color w:val="000000"/>
        </w:rPr>
      </w:pPr>
      <w:r>
        <w:rPr>
          <w:color w:val="000000"/>
        </w:rPr>
        <w:t>Universidad Nacional de Colombia</w:t>
      </w:r>
    </w:p>
    <w:p w14:paraId="06D605CA" w14:textId="77777777" w:rsidR="001522EB" w:rsidRDefault="0013026C">
      <w:pPr>
        <w:pBdr>
          <w:top w:val="nil"/>
          <w:left w:val="nil"/>
          <w:bottom w:val="nil"/>
          <w:right w:val="nil"/>
          <w:between w:val="nil"/>
        </w:pBdr>
        <w:spacing w:after="0" w:line="360" w:lineRule="auto"/>
        <w:jc w:val="center"/>
        <w:rPr>
          <w:color w:val="000000"/>
        </w:rPr>
      </w:pPr>
      <w:r>
        <w:rPr>
          <w:color w:val="000000"/>
        </w:rPr>
        <w:t>Facultad de Administración</w:t>
      </w:r>
    </w:p>
    <w:p w14:paraId="5BA8D1E0" w14:textId="77777777" w:rsidR="001522EB" w:rsidRDefault="0013026C">
      <w:pPr>
        <w:pBdr>
          <w:top w:val="nil"/>
          <w:left w:val="nil"/>
          <w:bottom w:val="nil"/>
          <w:right w:val="nil"/>
          <w:between w:val="nil"/>
        </w:pBdr>
        <w:spacing w:after="0" w:line="360" w:lineRule="auto"/>
        <w:jc w:val="center"/>
        <w:rPr>
          <w:color w:val="000000"/>
        </w:rPr>
      </w:pPr>
      <w:r>
        <w:rPr>
          <w:color w:val="000000"/>
        </w:rPr>
        <w:t xml:space="preserve">Departamento de Informática y Computación </w:t>
      </w:r>
    </w:p>
    <w:p w14:paraId="768860C1" w14:textId="77777777" w:rsidR="001522EB" w:rsidRDefault="0013026C">
      <w:pPr>
        <w:pBdr>
          <w:top w:val="nil"/>
          <w:left w:val="nil"/>
          <w:bottom w:val="nil"/>
          <w:right w:val="nil"/>
          <w:between w:val="nil"/>
        </w:pBdr>
        <w:spacing w:after="0" w:line="360" w:lineRule="auto"/>
        <w:jc w:val="center"/>
        <w:rPr>
          <w:color w:val="000000"/>
        </w:rPr>
      </w:pPr>
      <w:r>
        <w:rPr>
          <w:color w:val="000000"/>
        </w:rPr>
        <w:t>Manizales, Colombia</w:t>
      </w:r>
    </w:p>
    <w:p w14:paraId="68F4B8E8" w14:textId="77777777" w:rsidR="001522EB" w:rsidRDefault="0013026C">
      <w:pPr>
        <w:jc w:val="center"/>
      </w:pPr>
      <w:r>
        <w:t>2026</w:t>
      </w:r>
    </w:p>
    <w:p w14:paraId="0F669299" w14:textId="77777777" w:rsidR="001522EB" w:rsidRDefault="0013026C">
      <w:pPr>
        <w:pStyle w:val="Ttulo1"/>
        <w:pageBreakBefore/>
        <w:ind w:left="0" w:firstLine="0"/>
      </w:pPr>
      <w:bookmarkStart w:id="0" w:name="_Toc243333057"/>
      <w:r>
        <w:t>Resumen</w:t>
      </w:r>
      <w:bookmarkEnd w:id="0"/>
    </w:p>
    <w:p w14:paraId="6D12A3CA" w14:textId="77777777" w:rsidR="001522EB" w:rsidRDefault="0013026C">
      <w:pPr>
        <w:spacing w:after="240" w:line="360" w:lineRule="auto"/>
        <w:jc w:val="both"/>
      </w:pPr>
      <w:r>
        <w:rPr>
          <w:color w:val="000000"/>
        </w:rPr>
        <w:t xml:space="preserve">Este documento presenta la primera entrega del proyecto de aula de Ingeniería de Software II, cuyo objetivo es diseñar un sistema de gestión de inventarios basado en microservicios para un supermercado mediano que hoy controla sus existencias con hojas de cálculo, formatos en papel y conteos manuales. Primero se analizan tres sistemas del mercado (Odoo Inventory, ERPNext y Zoho Inventory) y se comparan sus funcionalidades, arquitectura, experiencia de usuario, fortalezas y debilidades. Luego se caracteriza </w:t>
      </w:r>
      <w:r>
        <w:rPr>
          <w:color w:val="000000"/>
        </w:rPr>
        <w:t xml:space="preserve">la empresa, se identifican siete problemas de su operación actual y se delimita el alcance de la solución, que excluye ventas, facturación y contabilidad. Con ese alcance se especifican catorce requerimientos funcionales y veinte no funcionales. Después se comparan la arquitectura monolítica y la de microservicios con criterios técnicos (despliegue, escalabilidad, tolerancia a fallos, modularidad, consistencia de datos, complejidad operativa, rendimiento, tecnología y pruebas) y se registran los riesgos de </w:t>
      </w:r>
      <w:r>
        <w:rPr>
          <w:color w:val="000000"/>
        </w:rPr>
        <w:t>la decisión con sus mitigaciones. Con el diseño guiado por el dominio (DDD) se identifican seis microservicios de negocio, comunicados por REST y por eventos, detrás de un API Gateway propio en Laravel que también gestiona usuarios, roles y autenticación. Se concluye que los microservicios se justifican por la escalabilidad independiente del inventario, el aislamiento de fallos, la privacidad de datos por dominio y la seguridad centralizada, a cambio de una mayor complejidad operativa que se mitiga con cont</w:t>
      </w:r>
      <w:r>
        <w:rPr>
          <w:color w:val="000000"/>
        </w:rPr>
        <w:t>enedores, Kubernetes y observabilidad. Por último, se describen el repositorio en GitHub y la bitácora de uso de inteligencia artificial de la fase.</w:t>
      </w:r>
    </w:p>
    <w:p w14:paraId="7F225CAA" w14:textId="77777777" w:rsidR="001522EB" w:rsidRDefault="0013026C">
      <w:pPr>
        <w:spacing w:after="240" w:line="360" w:lineRule="auto"/>
        <w:jc w:val="both"/>
      </w:pPr>
      <w:r>
        <w:rPr>
          <w:b/>
          <w:bCs/>
          <w:color w:val="000000"/>
        </w:rPr>
        <w:t xml:space="preserve">Palabras clave: </w:t>
      </w:r>
      <w:r>
        <w:rPr>
          <w:color w:val="000000"/>
        </w:rPr>
        <w:t>Gestión de inventarios, microservicios, API Gateway, diseño guiado por el dominio, Kubernetes, requerimientos de software.</w:t>
      </w:r>
    </w:p>
    <w:p w14:paraId="6449CF54" w14:textId="77777777" w:rsidR="001522EB" w:rsidRDefault="0013026C">
      <w:r>
        <w:br w:type="page"/>
      </w:r>
    </w:p>
    <w:p w14:paraId="7EA3C72B" w14:textId="77777777" w:rsidR="001522EB" w:rsidRDefault="0013026C">
      <w:pPr>
        <w:pBdr>
          <w:top w:val="nil"/>
          <w:left w:val="nil"/>
          <w:bottom w:val="nil"/>
          <w:right w:val="nil"/>
          <w:between w:val="nil"/>
        </w:pBdr>
        <w:tabs>
          <w:tab w:val="center" w:pos="4379"/>
        </w:tabs>
        <w:spacing w:before="2000" w:line="360" w:lineRule="auto"/>
        <w:jc w:val="both"/>
        <w:rPr>
          <w:b/>
          <w:bCs/>
          <w:color w:val="000000"/>
          <w:sz w:val="40"/>
          <w:szCs w:val="40"/>
        </w:rPr>
      </w:pPr>
      <w:r>
        <w:rPr>
          <w:b/>
          <w:bCs/>
          <w:color w:val="000000"/>
          <w:sz w:val="40"/>
          <w:szCs w:val="40"/>
        </w:rPr>
        <w:t>Contenido</w:t>
      </w:r>
      <w:r>
        <w:rPr>
          <w:b/>
          <w:bCs/>
          <w:color w:val="000000"/>
          <w:sz w:val="40"/>
          <w:szCs w:val="40"/>
        </w:rPr>
        <w:tab/>
      </w:r>
    </w:p>
    <w:p w14:paraId="6C1CADE9" w14:textId="77777777" w:rsidR="001522EB" w:rsidRDefault="0013026C">
      <w:pPr>
        <w:pBdr>
          <w:top w:val="nil"/>
          <w:left w:val="nil"/>
          <w:bottom w:val="nil"/>
          <w:right w:val="nil"/>
          <w:between w:val="nil"/>
        </w:pBdr>
        <w:tabs>
          <w:tab w:val="left" w:pos="440"/>
          <w:tab w:val="right" w:pos="8789"/>
        </w:tabs>
        <w:spacing w:before="200" w:after="0" w:line="240" w:lineRule="auto"/>
        <w:jc w:val="right"/>
        <w:rPr>
          <w:b/>
          <w:bCs/>
          <w:color w:val="000000"/>
        </w:rPr>
      </w:pPr>
      <w:r>
        <w:rPr>
          <w:b/>
          <w:bCs/>
          <w:color w:val="000000"/>
        </w:rPr>
        <w:t>Pág.</w:t>
      </w:r>
    </w:p>
    <w:sdt>
      <w:sdtPr>
        <w:id w:val="1195216046"/>
        <w:docPartObj>
          <w:docPartGallery w:val="Table of Contents"/>
          <w:docPartUnique/>
        </w:docPartObj>
      </w:sdtPr>
      <w:sdtEndPr/>
      <w:sdtContent>
        <w:p w14:paraId="70F289DE" w14:textId="110B99A9" w:rsidR="0027188F" w:rsidRDefault="0013026C">
          <w:pPr>
            <w:pStyle w:val="TDC1"/>
            <w:rPr>
              <w:rFonts w:asciiTheme="minorHAnsi" w:eastAsiaTheme="minorEastAsia" w:hAnsiTheme="minorHAnsi" w:cstheme="minorBidi"/>
              <w:b w:val="0"/>
              <w:bCs w:val="0"/>
              <w:noProof/>
              <w:kern w:val="2"/>
              <w:sz w:val="24"/>
              <w:szCs w:val="24"/>
              <w:lang w:val="es-MX"/>
              <w14:ligatures w14:val="standardContextual"/>
            </w:rPr>
          </w:pPr>
          <w:r>
            <w:fldChar w:fldCharType="begin"/>
          </w:r>
          <w:r>
            <w:instrText xml:space="preserve"> TOC \o "1-2" \h \z \u </w:instrText>
          </w:r>
          <w:r>
            <w:fldChar w:fldCharType="separate"/>
          </w:r>
          <w:hyperlink w:anchor="_Toc243333057" w:history="1">
            <w:r w:rsidR="0027188F" w:rsidRPr="003C5459">
              <w:rPr>
                <w:rStyle w:val="Hipervnculo"/>
                <w:noProof/>
              </w:rPr>
              <w:t>Resumen</w:t>
            </w:r>
            <w:r w:rsidR="0027188F">
              <w:rPr>
                <w:noProof/>
                <w:webHidden/>
              </w:rPr>
              <w:tab/>
            </w:r>
            <w:r w:rsidR="0027188F">
              <w:rPr>
                <w:noProof/>
                <w:webHidden/>
              </w:rPr>
              <w:fldChar w:fldCharType="begin"/>
            </w:r>
            <w:r w:rsidR="0027188F">
              <w:rPr>
                <w:noProof/>
                <w:webHidden/>
              </w:rPr>
              <w:instrText xml:space="preserve"> PAGEREF _Toc243333057 \h </w:instrText>
            </w:r>
            <w:r w:rsidR="0027188F">
              <w:rPr>
                <w:noProof/>
                <w:webHidden/>
              </w:rPr>
            </w:r>
            <w:r w:rsidR="0027188F">
              <w:rPr>
                <w:noProof/>
                <w:webHidden/>
              </w:rPr>
              <w:fldChar w:fldCharType="separate"/>
            </w:r>
            <w:r w:rsidR="0027188F">
              <w:rPr>
                <w:noProof/>
                <w:webHidden/>
              </w:rPr>
              <w:t>2</w:t>
            </w:r>
            <w:r w:rsidR="0027188F">
              <w:rPr>
                <w:noProof/>
                <w:webHidden/>
              </w:rPr>
              <w:fldChar w:fldCharType="end"/>
            </w:r>
          </w:hyperlink>
        </w:p>
        <w:p w14:paraId="239FF5D9" w14:textId="351AF562" w:rsidR="0027188F" w:rsidRDefault="0027188F">
          <w:pPr>
            <w:pStyle w:val="TDC1"/>
            <w:rPr>
              <w:rFonts w:asciiTheme="minorHAnsi" w:eastAsiaTheme="minorEastAsia" w:hAnsiTheme="minorHAnsi" w:cstheme="minorBidi"/>
              <w:b w:val="0"/>
              <w:bCs w:val="0"/>
              <w:noProof/>
              <w:kern w:val="2"/>
              <w:sz w:val="24"/>
              <w:szCs w:val="24"/>
              <w:lang w:val="es-MX"/>
              <w14:ligatures w14:val="standardContextual"/>
            </w:rPr>
          </w:pPr>
          <w:hyperlink w:anchor="_Toc243333058" w:history="1">
            <w:r w:rsidRPr="003C5459">
              <w:rPr>
                <w:rStyle w:val="Hipervnculo"/>
                <w:noProof/>
              </w:rPr>
              <w:t>Introducción</w:t>
            </w:r>
            <w:r>
              <w:rPr>
                <w:noProof/>
                <w:webHidden/>
              </w:rPr>
              <w:tab/>
            </w:r>
            <w:r>
              <w:rPr>
                <w:noProof/>
                <w:webHidden/>
              </w:rPr>
              <w:fldChar w:fldCharType="begin"/>
            </w:r>
            <w:r>
              <w:rPr>
                <w:noProof/>
                <w:webHidden/>
              </w:rPr>
              <w:instrText xml:space="preserve"> PAGEREF _Toc243333058 \h </w:instrText>
            </w:r>
            <w:r>
              <w:rPr>
                <w:noProof/>
                <w:webHidden/>
              </w:rPr>
            </w:r>
            <w:r>
              <w:rPr>
                <w:noProof/>
                <w:webHidden/>
              </w:rPr>
              <w:fldChar w:fldCharType="separate"/>
            </w:r>
            <w:r>
              <w:rPr>
                <w:noProof/>
                <w:webHidden/>
              </w:rPr>
              <w:t>4</w:t>
            </w:r>
            <w:r>
              <w:rPr>
                <w:noProof/>
                <w:webHidden/>
              </w:rPr>
              <w:fldChar w:fldCharType="end"/>
            </w:r>
          </w:hyperlink>
        </w:p>
        <w:p w14:paraId="4AA74466" w14:textId="6EC1FFBF" w:rsidR="0027188F" w:rsidRDefault="0027188F">
          <w:pPr>
            <w:pStyle w:val="TDC1"/>
            <w:rPr>
              <w:rFonts w:asciiTheme="minorHAnsi" w:eastAsiaTheme="minorEastAsia" w:hAnsiTheme="minorHAnsi" w:cstheme="minorBidi"/>
              <w:b w:val="0"/>
              <w:bCs w:val="0"/>
              <w:noProof/>
              <w:kern w:val="2"/>
              <w:sz w:val="24"/>
              <w:szCs w:val="24"/>
              <w:lang w:val="es-MX"/>
              <w14:ligatures w14:val="standardContextual"/>
            </w:rPr>
          </w:pPr>
          <w:hyperlink w:anchor="_Toc243333059" w:history="1">
            <w:r w:rsidRPr="003C5459">
              <w:rPr>
                <w:rStyle w:val="Hipervnculo"/>
                <w:noProof/>
              </w:rPr>
              <w:t>1.</w:t>
            </w:r>
            <w:r>
              <w:rPr>
                <w:rFonts w:asciiTheme="minorHAnsi" w:eastAsiaTheme="minorEastAsia" w:hAnsiTheme="minorHAnsi" w:cstheme="minorBidi"/>
                <w:b w:val="0"/>
                <w:bCs w:val="0"/>
                <w:noProof/>
                <w:kern w:val="2"/>
                <w:sz w:val="24"/>
                <w:szCs w:val="24"/>
                <w:lang w:val="es-MX"/>
                <w14:ligatures w14:val="standardContextual"/>
              </w:rPr>
              <w:tab/>
            </w:r>
            <w:r w:rsidRPr="003C5459">
              <w:rPr>
                <w:rStyle w:val="Hipervnculo"/>
                <w:noProof/>
              </w:rPr>
              <w:t>Investigación de sistemas similares de gestión de inventarios</w:t>
            </w:r>
            <w:r>
              <w:rPr>
                <w:noProof/>
                <w:webHidden/>
              </w:rPr>
              <w:tab/>
            </w:r>
            <w:r>
              <w:rPr>
                <w:noProof/>
                <w:webHidden/>
              </w:rPr>
              <w:fldChar w:fldCharType="begin"/>
            </w:r>
            <w:r>
              <w:rPr>
                <w:noProof/>
                <w:webHidden/>
              </w:rPr>
              <w:instrText xml:space="preserve"> PAGEREF _Toc243333059 \h </w:instrText>
            </w:r>
            <w:r>
              <w:rPr>
                <w:noProof/>
                <w:webHidden/>
              </w:rPr>
            </w:r>
            <w:r>
              <w:rPr>
                <w:noProof/>
                <w:webHidden/>
              </w:rPr>
              <w:fldChar w:fldCharType="separate"/>
            </w:r>
            <w:r>
              <w:rPr>
                <w:noProof/>
                <w:webHidden/>
              </w:rPr>
              <w:t>5</w:t>
            </w:r>
            <w:r>
              <w:rPr>
                <w:noProof/>
                <w:webHidden/>
              </w:rPr>
              <w:fldChar w:fldCharType="end"/>
            </w:r>
          </w:hyperlink>
        </w:p>
        <w:p w14:paraId="0DF7CA3C" w14:textId="14AA6C79"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60" w:history="1">
            <w:r w:rsidRPr="003C5459">
              <w:rPr>
                <w:rStyle w:val="Hipervnculo"/>
                <w:noProof/>
              </w:rPr>
              <w:t>1.1</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Odoo Inventory</w:t>
            </w:r>
            <w:r>
              <w:rPr>
                <w:noProof/>
                <w:webHidden/>
              </w:rPr>
              <w:tab/>
            </w:r>
            <w:r>
              <w:rPr>
                <w:noProof/>
                <w:webHidden/>
              </w:rPr>
              <w:fldChar w:fldCharType="begin"/>
            </w:r>
            <w:r>
              <w:rPr>
                <w:noProof/>
                <w:webHidden/>
              </w:rPr>
              <w:instrText xml:space="preserve"> PAGEREF _Toc243333060 \h </w:instrText>
            </w:r>
            <w:r>
              <w:rPr>
                <w:noProof/>
                <w:webHidden/>
              </w:rPr>
            </w:r>
            <w:r>
              <w:rPr>
                <w:noProof/>
                <w:webHidden/>
              </w:rPr>
              <w:fldChar w:fldCharType="separate"/>
            </w:r>
            <w:r>
              <w:rPr>
                <w:noProof/>
                <w:webHidden/>
              </w:rPr>
              <w:t>5</w:t>
            </w:r>
            <w:r>
              <w:rPr>
                <w:noProof/>
                <w:webHidden/>
              </w:rPr>
              <w:fldChar w:fldCharType="end"/>
            </w:r>
          </w:hyperlink>
        </w:p>
        <w:p w14:paraId="761616B7" w14:textId="2B791E78"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61" w:history="1">
            <w:r w:rsidRPr="003C5459">
              <w:rPr>
                <w:rStyle w:val="Hipervnculo"/>
                <w:noProof/>
              </w:rPr>
              <w:t>1.2</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ERPNext (módulo Stock)</w:t>
            </w:r>
            <w:r>
              <w:rPr>
                <w:noProof/>
                <w:webHidden/>
              </w:rPr>
              <w:tab/>
            </w:r>
            <w:r>
              <w:rPr>
                <w:noProof/>
                <w:webHidden/>
              </w:rPr>
              <w:fldChar w:fldCharType="begin"/>
            </w:r>
            <w:r>
              <w:rPr>
                <w:noProof/>
                <w:webHidden/>
              </w:rPr>
              <w:instrText xml:space="preserve"> PAGEREF _Toc243333061 \h </w:instrText>
            </w:r>
            <w:r>
              <w:rPr>
                <w:noProof/>
                <w:webHidden/>
              </w:rPr>
            </w:r>
            <w:r>
              <w:rPr>
                <w:noProof/>
                <w:webHidden/>
              </w:rPr>
              <w:fldChar w:fldCharType="separate"/>
            </w:r>
            <w:r>
              <w:rPr>
                <w:noProof/>
                <w:webHidden/>
              </w:rPr>
              <w:t>6</w:t>
            </w:r>
            <w:r>
              <w:rPr>
                <w:noProof/>
                <w:webHidden/>
              </w:rPr>
              <w:fldChar w:fldCharType="end"/>
            </w:r>
          </w:hyperlink>
        </w:p>
        <w:p w14:paraId="48727027" w14:textId="7430F0E7"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62" w:history="1">
            <w:r w:rsidRPr="003C5459">
              <w:rPr>
                <w:rStyle w:val="Hipervnculo"/>
                <w:noProof/>
              </w:rPr>
              <w:t>1.3</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Zoho Inventory</w:t>
            </w:r>
            <w:r>
              <w:rPr>
                <w:noProof/>
                <w:webHidden/>
              </w:rPr>
              <w:tab/>
            </w:r>
            <w:r>
              <w:rPr>
                <w:noProof/>
                <w:webHidden/>
              </w:rPr>
              <w:fldChar w:fldCharType="begin"/>
            </w:r>
            <w:r>
              <w:rPr>
                <w:noProof/>
                <w:webHidden/>
              </w:rPr>
              <w:instrText xml:space="preserve"> PAGEREF _Toc243333062 \h </w:instrText>
            </w:r>
            <w:r>
              <w:rPr>
                <w:noProof/>
                <w:webHidden/>
              </w:rPr>
            </w:r>
            <w:r>
              <w:rPr>
                <w:noProof/>
                <w:webHidden/>
              </w:rPr>
              <w:fldChar w:fldCharType="separate"/>
            </w:r>
            <w:r>
              <w:rPr>
                <w:noProof/>
                <w:webHidden/>
              </w:rPr>
              <w:t>6</w:t>
            </w:r>
            <w:r>
              <w:rPr>
                <w:noProof/>
                <w:webHidden/>
              </w:rPr>
              <w:fldChar w:fldCharType="end"/>
            </w:r>
          </w:hyperlink>
        </w:p>
        <w:p w14:paraId="694563CE" w14:textId="792364EF"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63" w:history="1">
            <w:r w:rsidRPr="003C5459">
              <w:rPr>
                <w:rStyle w:val="Hipervnculo"/>
                <w:noProof/>
              </w:rPr>
              <w:t>1.4</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Cuadro comparativo</w:t>
            </w:r>
            <w:r>
              <w:rPr>
                <w:noProof/>
                <w:webHidden/>
              </w:rPr>
              <w:tab/>
            </w:r>
            <w:r>
              <w:rPr>
                <w:noProof/>
                <w:webHidden/>
              </w:rPr>
              <w:fldChar w:fldCharType="begin"/>
            </w:r>
            <w:r>
              <w:rPr>
                <w:noProof/>
                <w:webHidden/>
              </w:rPr>
              <w:instrText xml:space="preserve"> PAGEREF _Toc243333063 \h </w:instrText>
            </w:r>
            <w:r>
              <w:rPr>
                <w:noProof/>
                <w:webHidden/>
              </w:rPr>
            </w:r>
            <w:r>
              <w:rPr>
                <w:noProof/>
                <w:webHidden/>
              </w:rPr>
              <w:fldChar w:fldCharType="separate"/>
            </w:r>
            <w:r>
              <w:rPr>
                <w:noProof/>
                <w:webHidden/>
              </w:rPr>
              <w:t>7</w:t>
            </w:r>
            <w:r>
              <w:rPr>
                <w:noProof/>
                <w:webHidden/>
              </w:rPr>
              <w:fldChar w:fldCharType="end"/>
            </w:r>
          </w:hyperlink>
        </w:p>
        <w:p w14:paraId="2612B54C" w14:textId="12090AEA"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64" w:history="1">
            <w:r w:rsidRPr="003C5459">
              <w:rPr>
                <w:rStyle w:val="Hipervnculo"/>
                <w:noProof/>
              </w:rPr>
              <w:t>1.5</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Análisis comparativo y aportes al alcance</w:t>
            </w:r>
            <w:r>
              <w:rPr>
                <w:noProof/>
                <w:webHidden/>
              </w:rPr>
              <w:tab/>
            </w:r>
            <w:r>
              <w:rPr>
                <w:noProof/>
                <w:webHidden/>
              </w:rPr>
              <w:fldChar w:fldCharType="begin"/>
            </w:r>
            <w:r>
              <w:rPr>
                <w:noProof/>
                <w:webHidden/>
              </w:rPr>
              <w:instrText xml:space="preserve"> PAGEREF _Toc243333064 \h </w:instrText>
            </w:r>
            <w:r>
              <w:rPr>
                <w:noProof/>
                <w:webHidden/>
              </w:rPr>
            </w:r>
            <w:r>
              <w:rPr>
                <w:noProof/>
                <w:webHidden/>
              </w:rPr>
              <w:fldChar w:fldCharType="separate"/>
            </w:r>
            <w:r>
              <w:rPr>
                <w:noProof/>
                <w:webHidden/>
              </w:rPr>
              <w:t>7</w:t>
            </w:r>
            <w:r>
              <w:rPr>
                <w:noProof/>
                <w:webHidden/>
              </w:rPr>
              <w:fldChar w:fldCharType="end"/>
            </w:r>
          </w:hyperlink>
        </w:p>
        <w:p w14:paraId="36C1E7D2" w14:textId="5F628554" w:rsidR="0027188F" w:rsidRDefault="0027188F">
          <w:pPr>
            <w:pStyle w:val="TDC1"/>
            <w:rPr>
              <w:rFonts w:asciiTheme="minorHAnsi" w:eastAsiaTheme="minorEastAsia" w:hAnsiTheme="minorHAnsi" w:cstheme="minorBidi"/>
              <w:b w:val="0"/>
              <w:bCs w:val="0"/>
              <w:noProof/>
              <w:kern w:val="2"/>
              <w:sz w:val="24"/>
              <w:szCs w:val="24"/>
              <w:lang w:val="es-MX"/>
              <w14:ligatures w14:val="standardContextual"/>
            </w:rPr>
          </w:pPr>
          <w:hyperlink w:anchor="_Toc243333065" w:history="1">
            <w:r w:rsidRPr="003C5459">
              <w:rPr>
                <w:rStyle w:val="Hipervnculo"/>
                <w:noProof/>
              </w:rPr>
              <w:t>2.</w:t>
            </w:r>
            <w:r>
              <w:rPr>
                <w:rFonts w:asciiTheme="minorHAnsi" w:eastAsiaTheme="minorEastAsia" w:hAnsiTheme="minorHAnsi" w:cstheme="minorBidi"/>
                <w:b w:val="0"/>
                <w:bCs w:val="0"/>
                <w:noProof/>
                <w:kern w:val="2"/>
                <w:sz w:val="24"/>
                <w:szCs w:val="24"/>
                <w:lang w:val="es-MX"/>
                <w14:ligatures w14:val="standardContextual"/>
              </w:rPr>
              <w:tab/>
            </w:r>
            <w:r w:rsidRPr="003C5459">
              <w:rPr>
                <w:rStyle w:val="Hipervnculo"/>
                <w:noProof/>
              </w:rPr>
              <w:t>Definición del problema y alcance</w:t>
            </w:r>
            <w:r>
              <w:rPr>
                <w:noProof/>
                <w:webHidden/>
              </w:rPr>
              <w:tab/>
            </w:r>
            <w:r>
              <w:rPr>
                <w:noProof/>
                <w:webHidden/>
              </w:rPr>
              <w:fldChar w:fldCharType="begin"/>
            </w:r>
            <w:r>
              <w:rPr>
                <w:noProof/>
                <w:webHidden/>
              </w:rPr>
              <w:instrText xml:space="preserve"> PAGEREF _Toc243333065 \h </w:instrText>
            </w:r>
            <w:r>
              <w:rPr>
                <w:noProof/>
                <w:webHidden/>
              </w:rPr>
            </w:r>
            <w:r>
              <w:rPr>
                <w:noProof/>
                <w:webHidden/>
              </w:rPr>
              <w:fldChar w:fldCharType="separate"/>
            </w:r>
            <w:r>
              <w:rPr>
                <w:noProof/>
                <w:webHidden/>
              </w:rPr>
              <w:t>9</w:t>
            </w:r>
            <w:r>
              <w:rPr>
                <w:noProof/>
                <w:webHidden/>
              </w:rPr>
              <w:fldChar w:fldCharType="end"/>
            </w:r>
          </w:hyperlink>
        </w:p>
        <w:p w14:paraId="47E73A81" w14:textId="16B44406"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66" w:history="1">
            <w:r w:rsidRPr="003C5459">
              <w:rPr>
                <w:rStyle w:val="Hipervnculo"/>
                <w:noProof/>
              </w:rPr>
              <w:t>2.1</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Caracterización de la empresa</w:t>
            </w:r>
            <w:r>
              <w:rPr>
                <w:noProof/>
                <w:webHidden/>
              </w:rPr>
              <w:tab/>
            </w:r>
            <w:r>
              <w:rPr>
                <w:noProof/>
                <w:webHidden/>
              </w:rPr>
              <w:fldChar w:fldCharType="begin"/>
            </w:r>
            <w:r>
              <w:rPr>
                <w:noProof/>
                <w:webHidden/>
              </w:rPr>
              <w:instrText xml:space="preserve"> PAGEREF _Toc243333066 \h </w:instrText>
            </w:r>
            <w:r>
              <w:rPr>
                <w:noProof/>
                <w:webHidden/>
              </w:rPr>
            </w:r>
            <w:r>
              <w:rPr>
                <w:noProof/>
                <w:webHidden/>
              </w:rPr>
              <w:fldChar w:fldCharType="separate"/>
            </w:r>
            <w:r>
              <w:rPr>
                <w:noProof/>
                <w:webHidden/>
              </w:rPr>
              <w:t>9</w:t>
            </w:r>
            <w:r>
              <w:rPr>
                <w:noProof/>
                <w:webHidden/>
              </w:rPr>
              <w:fldChar w:fldCharType="end"/>
            </w:r>
          </w:hyperlink>
        </w:p>
        <w:p w14:paraId="0CBC5131" w14:textId="1CFF4FE0"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67" w:history="1">
            <w:r w:rsidRPr="003C5459">
              <w:rPr>
                <w:rStyle w:val="Hipervnculo"/>
                <w:noProof/>
              </w:rPr>
              <w:t>2.2</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Situación actual y problemas identificados</w:t>
            </w:r>
            <w:r>
              <w:rPr>
                <w:noProof/>
                <w:webHidden/>
              </w:rPr>
              <w:tab/>
            </w:r>
            <w:r>
              <w:rPr>
                <w:noProof/>
                <w:webHidden/>
              </w:rPr>
              <w:fldChar w:fldCharType="begin"/>
            </w:r>
            <w:r>
              <w:rPr>
                <w:noProof/>
                <w:webHidden/>
              </w:rPr>
              <w:instrText xml:space="preserve"> PAGEREF _Toc243333067 \h </w:instrText>
            </w:r>
            <w:r>
              <w:rPr>
                <w:noProof/>
                <w:webHidden/>
              </w:rPr>
            </w:r>
            <w:r>
              <w:rPr>
                <w:noProof/>
                <w:webHidden/>
              </w:rPr>
              <w:fldChar w:fldCharType="separate"/>
            </w:r>
            <w:r>
              <w:rPr>
                <w:noProof/>
                <w:webHidden/>
              </w:rPr>
              <w:t>9</w:t>
            </w:r>
            <w:r>
              <w:rPr>
                <w:noProof/>
                <w:webHidden/>
              </w:rPr>
              <w:fldChar w:fldCharType="end"/>
            </w:r>
          </w:hyperlink>
        </w:p>
        <w:p w14:paraId="2F836E9D" w14:textId="0B4C7E56"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68" w:history="1">
            <w:r w:rsidRPr="003C5459">
              <w:rPr>
                <w:rStyle w:val="Hipervnculo"/>
                <w:noProof/>
              </w:rPr>
              <w:t>2.3</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Planteamiento del problema</w:t>
            </w:r>
            <w:r>
              <w:rPr>
                <w:noProof/>
                <w:webHidden/>
              </w:rPr>
              <w:tab/>
            </w:r>
            <w:r>
              <w:rPr>
                <w:noProof/>
                <w:webHidden/>
              </w:rPr>
              <w:fldChar w:fldCharType="begin"/>
            </w:r>
            <w:r>
              <w:rPr>
                <w:noProof/>
                <w:webHidden/>
              </w:rPr>
              <w:instrText xml:space="preserve"> PAGEREF _Toc243333068 \h </w:instrText>
            </w:r>
            <w:r>
              <w:rPr>
                <w:noProof/>
                <w:webHidden/>
              </w:rPr>
            </w:r>
            <w:r>
              <w:rPr>
                <w:noProof/>
                <w:webHidden/>
              </w:rPr>
              <w:fldChar w:fldCharType="separate"/>
            </w:r>
            <w:r>
              <w:rPr>
                <w:noProof/>
                <w:webHidden/>
              </w:rPr>
              <w:t>10</w:t>
            </w:r>
            <w:r>
              <w:rPr>
                <w:noProof/>
                <w:webHidden/>
              </w:rPr>
              <w:fldChar w:fldCharType="end"/>
            </w:r>
          </w:hyperlink>
        </w:p>
        <w:p w14:paraId="60373E25" w14:textId="1BDDB8B9"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69" w:history="1">
            <w:r w:rsidRPr="003C5459">
              <w:rPr>
                <w:rStyle w:val="Hipervnculo"/>
                <w:noProof/>
              </w:rPr>
              <w:t>2.4</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Alcance de la solución</w:t>
            </w:r>
            <w:r>
              <w:rPr>
                <w:noProof/>
                <w:webHidden/>
              </w:rPr>
              <w:tab/>
            </w:r>
            <w:r>
              <w:rPr>
                <w:noProof/>
                <w:webHidden/>
              </w:rPr>
              <w:fldChar w:fldCharType="begin"/>
            </w:r>
            <w:r>
              <w:rPr>
                <w:noProof/>
                <w:webHidden/>
              </w:rPr>
              <w:instrText xml:space="preserve"> PAGEREF _Toc243333069 \h </w:instrText>
            </w:r>
            <w:r>
              <w:rPr>
                <w:noProof/>
                <w:webHidden/>
              </w:rPr>
            </w:r>
            <w:r>
              <w:rPr>
                <w:noProof/>
                <w:webHidden/>
              </w:rPr>
              <w:fldChar w:fldCharType="separate"/>
            </w:r>
            <w:r>
              <w:rPr>
                <w:noProof/>
                <w:webHidden/>
              </w:rPr>
              <w:t>10</w:t>
            </w:r>
            <w:r>
              <w:rPr>
                <w:noProof/>
                <w:webHidden/>
              </w:rPr>
              <w:fldChar w:fldCharType="end"/>
            </w:r>
          </w:hyperlink>
        </w:p>
        <w:p w14:paraId="42580BB9" w14:textId="54137081" w:rsidR="0027188F" w:rsidRDefault="0027188F">
          <w:pPr>
            <w:pStyle w:val="TDC1"/>
            <w:rPr>
              <w:rFonts w:asciiTheme="minorHAnsi" w:eastAsiaTheme="minorEastAsia" w:hAnsiTheme="minorHAnsi" w:cstheme="minorBidi"/>
              <w:b w:val="0"/>
              <w:bCs w:val="0"/>
              <w:noProof/>
              <w:kern w:val="2"/>
              <w:sz w:val="24"/>
              <w:szCs w:val="24"/>
              <w:lang w:val="es-MX"/>
              <w14:ligatures w14:val="standardContextual"/>
            </w:rPr>
          </w:pPr>
          <w:hyperlink w:anchor="_Toc243333070" w:history="1">
            <w:r w:rsidRPr="003C5459">
              <w:rPr>
                <w:rStyle w:val="Hipervnculo"/>
                <w:noProof/>
              </w:rPr>
              <w:t>3.</w:t>
            </w:r>
            <w:r>
              <w:rPr>
                <w:rFonts w:asciiTheme="minorHAnsi" w:eastAsiaTheme="minorEastAsia" w:hAnsiTheme="minorHAnsi" w:cstheme="minorBidi"/>
                <w:b w:val="0"/>
                <w:bCs w:val="0"/>
                <w:noProof/>
                <w:kern w:val="2"/>
                <w:sz w:val="24"/>
                <w:szCs w:val="24"/>
                <w:lang w:val="es-MX"/>
                <w14:ligatures w14:val="standardContextual"/>
              </w:rPr>
              <w:tab/>
            </w:r>
            <w:r w:rsidRPr="003C5459">
              <w:rPr>
                <w:rStyle w:val="Hipervnculo"/>
                <w:noProof/>
              </w:rPr>
              <w:t>Requerimientos del sistema</w:t>
            </w:r>
            <w:r>
              <w:rPr>
                <w:noProof/>
                <w:webHidden/>
              </w:rPr>
              <w:tab/>
            </w:r>
            <w:r>
              <w:rPr>
                <w:noProof/>
                <w:webHidden/>
              </w:rPr>
              <w:fldChar w:fldCharType="begin"/>
            </w:r>
            <w:r>
              <w:rPr>
                <w:noProof/>
                <w:webHidden/>
              </w:rPr>
              <w:instrText xml:space="preserve"> PAGEREF _Toc243333070 \h </w:instrText>
            </w:r>
            <w:r>
              <w:rPr>
                <w:noProof/>
                <w:webHidden/>
              </w:rPr>
            </w:r>
            <w:r>
              <w:rPr>
                <w:noProof/>
                <w:webHidden/>
              </w:rPr>
              <w:fldChar w:fldCharType="separate"/>
            </w:r>
            <w:r>
              <w:rPr>
                <w:noProof/>
                <w:webHidden/>
              </w:rPr>
              <w:t>12</w:t>
            </w:r>
            <w:r>
              <w:rPr>
                <w:noProof/>
                <w:webHidden/>
              </w:rPr>
              <w:fldChar w:fldCharType="end"/>
            </w:r>
          </w:hyperlink>
        </w:p>
        <w:p w14:paraId="46C6A2D4" w14:textId="28240223"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71" w:history="1">
            <w:r w:rsidRPr="003C5459">
              <w:rPr>
                <w:rStyle w:val="Hipervnculo"/>
                <w:noProof/>
              </w:rPr>
              <w:t>3.1</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Requerimientos funcionales</w:t>
            </w:r>
            <w:r>
              <w:rPr>
                <w:noProof/>
                <w:webHidden/>
              </w:rPr>
              <w:tab/>
            </w:r>
            <w:r>
              <w:rPr>
                <w:noProof/>
                <w:webHidden/>
              </w:rPr>
              <w:fldChar w:fldCharType="begin"/>
            </w:r>
            <w:r>
              <w:rPr>
                <w:noProof/>
                <w:webHidden/>
              </w:rPr>
              <w:instrText xml:space="preserve"> PAGEREF _Toc243333071 \h </w:instrText>
            </w:r>
            <w:r>
              <w:rPr>
                <w:noProof/>
                <w:webHidden/>
              </w:rPr>
            </w:r>
            <w:r>
              <w:rPr>
                <w:noProof/>
                <w:webHidden/>
              </w:rPr>
              <w:fldChar w:fldCharType="separate"/>
            </w:r>
            <w:r>
              <w:rPr>
                <w:noProof/>
                <w:webHidden/>
              </w:rPr>
              <w:t>12</w:t>
            </w:r>
            <w:r>
              <w:rPr>
                <w:noProof/>
                <w:webHidden/>
              </w:rPr>
              <w:fldChar w:fldCharType="end"/>
            </w:r>
          </w:hyperlink>
        </w:p>
        <w:p w14:paraId="4D618B10" w14:textId="333BDA5A"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72" w:history="1">
            <w:r w:rsidRPr="003C5459">
              <w:rPr>
                <w:rStyle w:val="Hipervnculo"/>
                <w:noProof/>
              </w:rPr>
              <w:t>3.2</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Requerimientos no funcionales</w:t>
            </w:r>
            <w:r>
              <w:rPr>
                <w:noProof/>
                <w:webHidden/>
              </w:rPr>
              <w:tab/>
            </w:r>
            <w:r>
              <w:rPr>
                <w:noProof/>
                <w:webHidden/>
              </w:rPr>
              <w:fldChar w:fldCharType="begin"/>
            </w:r>
            <w:r>
              <w:rPr>
                <w:noProof/>
                <w:webHidden/>
              </w:rPr>
              <w:instrText xml:space="preserve"> PAGEREF _Toc243333072 \h </w:instrText>
            </w:r>
            <w:r>
              <w:rPr>
                <w:noProof/>
                <w:webHidden/>
              </w:rPr>
            </w:r>
            <w:r>
              <w:rPr>
                <w:noProof/>
                <w:webHidden/>
              </w:rPr>
              <w:fldChar w:fldCharType="separate"/>
            </w:r>
            <w:r>
              <w:rPr>
                <w:noProof/>
                <w:webHidden/>
              </w:rPr>
              <w:t>13</w:t>
            </w:r>
            <w:r>
              <w:rPr>
                <w:noProof/>
                <w:webHidden/>
              </w:rPr>
              <w:fldChar w:fldCharType="end"/>
            </w:r>
          </w:hyperlink>
        </w:p>
        <w:p w14:paraId="3220BBCE" w14:textId="6AF6D1FE" w:rsidR="0027188F" w:rsidRDefault="0027188F">
          <w:pPr>
            <w:pStyle w:val="TDC1"/>
            <w:rPr>
              <w:rFonts w:asciiTheme="minorHAnsi" w:eastAsiaTheme="minorEastAsia" w:hAnsiTheme="minorHAnsi" w:cstheme="minorBidi"/>
              <w:b w:val="0"/>
              <w:bCs w:val="0"/>
              <w:noProof/>
              <w:kern w:val="2"/>
              <w:sz w:val="24"/>
              <w:szCs w:val="24"/>
              <w:lang w:val="es-MX"/>
              <w14:ligatures w14:val="standardContextual"/>
            </w:rPr>
          </w:pPr>
          <w:hyperlink w:anchor="_Toc243333073" w:history="1">
            <w:r w:rsidRPr="003C5459">
              <w:rPr>
                <w:rStyle w:val="Hipervnculo"/>
                <w:noProof/>
              </w:rPr>
              <w:t>4.</w:t>
            </w:r>
            <w:r>
              <w:rPr>
                <w:rFonts w:asciiTheme="minorHAnsi" w:eastAsiaTheme="minorEastAsia" w:hAnsiTheme="minorHAnsi" w:cstheme="minorBidi"/>
                <w:b w:val="0"/>
                <w:bCs w:val="0"/>
                <w:noProof/>
                <w:kern w:val="2"/>
                <w:sz w:val="24"/>
                <w:szCs w:val="24"/>
                <w:lang w:val="es-MX"/>
                <w14:ligatures w14:val="standardContextual"/>
              </w:rPr>
              <w:tab/>
            </w:r>
            <w:r w:rsidRPr="003C5459">
              <w:rPr>
                <w:rStyle w:val="Hipervnculo"/>
                <w:noProof/>
              </w:rPr>
              <w:t>Justificación técnica de la arquitectura de microservicios</w:t>
            </w:r>
            <w:r>
              <w:rPr>
                <w:noProof/>
                <w:webHidden/>
              </w:rPr>
              <w:tab/>
            </w:r>
            <w:r>
              <w:rPr>
                <w:noProof/>
                <w:webHidden/>
              </w:rPr>
              <w:fldChar w:fldCharType="begin"/>
            </w:r>
            <w:r>
              <w:rPr>
                <w:noProof/>
                <w:webHidden/>
              </w:rPr>
              <w:instrText xml:space="preserve"> PAGEREF _Toc243333073 \h </w:instrText>
            </w:r>
            <w:r>
              <w:rPr>
                <w:noProof/>
                <w:webHidden/>
              </w:rPr>
            </w:r>
            <w:r>
              <w:rPr>
                <w:noProof/>
                <w:webHidden/>
              </w:rPr>
              <w:fldChar w:fldCharType="separate"/>
            </w:r>
            <w:r>
              <w:rPr>
                <w:noProof/>
                <w:webHidden/>
              </w:rPr>
              <w:t>15</w:t>
            </w:r>
            <w:r>
              <w:rPr>
                <w:noProof/>
                <w:webHidden/>
              </w:rPr>
              <w:fldChar w:fldCharType="end"/>
            </w:r>
          </w:hyperlink>
        </w:p>
        <w:p w14:paraId="2CD1A341" w14:textId="32A1D466"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74" w:history="1">
            <w:r w:rsidRPr="003C5459">
              <w:rPr>
                <w:rStyle w:val="Hipervnculo"/>
                <w:noProof/>
              </w:rPr>
              <w:t>4.1</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Contexto y criterios de comparación</w:t>
            </w:r>
            <w:r>
              <w:rPr>
                <w:noProof/>
                <w:webHidden/>
              </w:rPr>
              <w:tab/>
            </w:r>
            <w:r>
              <w:rPr>
                <w:noProof/>
                <w:webHidden/>
              </w:rPr>
              <w:fldChar w:fldCharType="begin"/>
            </w:r>
            <w:r>
              <w:rPr>
                <w:noProof/>
                <w:webHidden/>
              </w:rPr>
              <w:instrText xml:space="preserve"> PAGEREF _Toc243333074 \h </w:instrText>
            </w:r>
            <w:r>
              <w:rPr>
                <w:noProof/>
                <w:webHidden/>
              </w:rPr>
            </w:r>
            <w:r>
              <w:rPr>
                <w:noProof/>
                <w:webHidden/>
              </w:rPr>
              <w:fldChar w:fldCharType="separate"/>
            </w:r>
            <w:r>
              <w:rPr>
                <w:noProof/>
                <w:webHidden/>
              </w:rPr>
              <w:t>15</w:t>
            </w:r>
            <w:r>
              <w:rPr>
                <w:noProof/>
                <w:webHidden/>
              </w:rPr>
              <w:fldChar w:fldCharType="end"/>
            </w:r>
          </w:hyperlink>
        </w:p>
        <w:p w14:paraId="0170D127" w14:textId="0585EDB5"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75" w:history="1">
            <w:r w:rsidRPr="003C5459">
              <w:rPr>
                <w:rStyle w:val="Hipervnculo"/>
                <w:noProof/>
              </w:rPr>
              <w:t>4.2</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Arquitectura monolítica y arquitectura de microservicios</w:t>
            </w:r>
            <w:r>
              <w:rPr>
                <w:noProof/>
                <w:webHidden/>
              </w:rPr>
              <w:tab/>
            </w:r>
            <w:r>
              <w:rPr>
                <w:noProof/>
                <w:webHidden/>
              </w:rPr>
              <w:fldChar w:fldCharType="begin"/>
            </w:r>
            <w:r>
              <w:rPr>
                <w:noProof/>
                <w:webHidden/>
              </w:rPr>
              <w:instrText xml:space="preserve"> PAGEREF _Toc243333075 \h </w:instrText>
            </w:r>
            <w:r>
              <w:rPr>
                <w:noProof/>
                <w:webHidden/>
              </w:rPr>
            </w:r>
            <w:r>
              <w:rPr>
                <w:noProof/>
                <w:webHidden/>
              </w:rPr>
              <w:fldChar w:fldCharType="separate"/>
            </w:r>
            <w:r>
              <w:rPr>
                <w:noProof/>
                <w:webHidden/>
              </w:rPr>
              <w:t>15</w:t>
            </w:r>
            <w:r>
              <w:rPr>
                <w:noProof/>
                <w:webHidden/>
              </w:rPr>
              <w:fldChar w:fldCharType="end"/>
            </w:r>
          </w:hyperlink>
        </w:p>
        <w:p w14:paraId="60148528" w14:textId="6AAC08DB"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76" w:history="1">
            <w:r w:rsidRPr="003C5459">
              <w:rPr>
                <w:rStyle w:val="Hipervnculo"/>
                <w:noProof/>
              </w:rPr>
              <w:t>4.3</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Comparación de las arquitecturas</w:t>
            </w:r>
            <w:r>
              <w:rPr>
                <w:noProof/>
                <w:webHidden/>
              </w:rPr>
              <w:tab/>
            </w:r>
            <w:r>
              <w:rPr>
                <w:noProof/>
                <w:webHidden/>
              </w:rPr>
              <w:fldChar w:fldCharType="begin"/>
            </w:r>
            <w:r>
              <w:rPr>
                <w:noProof/>
                <w:webHidden/>
              </w:rPr>
              <w:instrText xml:space="preserve"> PAGEREF _Toc243333076 \h </w:instrText>
            </w:r>
            <w:r>
              <w:rPr>
                <w:noProof/>
                <w:webHidden/>
              </w:rPr>
            </w:r>
            <w:r>
              <w:rPr>
                <w:noProof/>
                <w:webHidden/>
              </w:rPr>
              <w:fldChar w:fldCharType="separate"/>
            </w:r>
            <w:r>
              <w:rPr>
                <w:noProof/>
                <w:webHidden/>
              </w:rPr>
              <w:t>15</w:t>
            </w:r>
            <w:r>
              <w:rPr>
                <w:noProof/>
                <w:webHidden/>
              </w:rPr>
              <w:fldChar w:fldCharType="end"/>
            </w:r>
          </w:hyperlink>
        </w:p>
        <w:p w14:paraId="0E452E05" w14:textId="7DAABABD"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77" w:history="1">
            <w:r w:rsidRPr="003C5459">
              <w:rPr>
                <w:rStyle w:val="Hipervnculo"/>
                <w:noProof/>
              </w:rPr>
              <w:t>4.4</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Motivos técnicos para elegir microservicios</w:t>
            </w:r>
            <w:r>
              <w:rPr>
                <w:noProof/>
                <w:webHidden/>
              </w:rPr>
              <w:tab/>
            </w:r>
            <w:r>
              <w:rPr>
                <w:noProof/>
                <w:webHidden/>
              </w:rPr>
              <w:fldChar w:fldCharType="begin"/>
            </w:r>
            <w:r>
              <w:rPr>
                <w:noProof/>
                <w:webHidden/>
              </w:rPr>
              <w:instrText xml:space="preserve"> PAGEREF _Toc243333077 \h </w:instrText>
            </w:r>
            <w:r>
              <w:rPr>
                <w:noProof/>
                <w:webHidden/>
              </w:rPr>
            </w:r>
            <w:r>
              <w:rPr>
                <w:noProof/>
                <w:webHidden/>
              </w:rPr>
              <w:fldChar w:fldCharType="separate"/>
            </w:r>
            <w:r>
              <w:rPr>
                <w:noProof/>
                <w:webHidden/>
              </w:rPr>
              <w:t>16</w:t>
            </w:r>
            <w:r>
              <w:rPr>
                <w:noProof/>
                <w:webHidden/>
              </w:rPr>
              <w:fldChar w:fldCharType="end"/>
            </w:r>
          </w:hyperlink>
        </w:p>
        <w:p w14:paraId="0F0336A2" w14:textId="18CEB79F"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78" w:history="1">
            <w:r w:rsidRPr="003C5459">
              <w:rPr>
                <w:rStyle w:val="Hipervnculo"/>
                <w:noProof/>
              </w:rPr>
              <w:t>4.5</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Costos, riesgos y mitigaciones</w:t>
            </w:r>
            <w:r>
              <w:rPr>
                <w:noProof/>
                <w:webHidden/>
              </w:rPr>
              <w:tab/>
            </w:r>
            <w:r>
              <w:rPr>
                <w:noProof/>
                <w:webHidden/>
              </w:rPr>
              <w:fldChar w:fldCharType="begin"/>
            </w:r>
            <w:r>
              <w:rPr>
                <w:noProof/>
                <w:webHidden/>
              </w:rPr>
              <w:instrText xml:space="preserve"> PAGEREF _Toc243333078 \h </w:instrText>
            </w:r>
            <w:r>
              <w:rPr>
                <w:noProof/>
                <w:webHidden/>
              </w:rPr>
            </w:r>
            <w:r>
              <w:rPr>
                <w:noProof/>
                <w:webHidden/>
              </w:rPr>
              <w:fldChar w:fldCharType="separate"/>
            </w:r>
            <w:r>
              <w:rPr>
                <w:noProof/>
                <w:webHidden/>
              </w:rPr>
              <w:t>17</w:t>
            </w:r>
            <w:r>
              <w:rPr>
                <w:noProof/>
                <w:webHidden/>
              </w:rPr>
              <w:fldChar w:fldCharType="end"/>
            </w:r>
          </w:hyperlink>
        </w:p>
        <w:p w14:paraId="09539CE7" w14:textId="02FBD947"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79" w:history="1">
            <w:r w:rsidRPr="003C5459">
              <w:rPr>
                <w:rStyle w:val="Hipervnculo"/>
                <w:noProof/>
              </w:rPr>
              <w:t>4.6</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Conclusión de la justificación</w:t>
            </w:r>
            <w:r>
              <w:rPr>
                <w:noProof/>
                <w:webHidden/>
              </w:rPr>
              <w:tab/>
            </w:r>
            <w:r>
              <w:rPr>
                <w:noProof/>
                <w:webHidden/>
              </w:rPr>
              <w:fldChar w:fldCharType="begin"/>
            </w:r>
            <w:r>
              <w:rPr>
                <w:noProof/>
                <w:webHidden/>
              </w:rPr>
              <w:instrText xml:space="preserve"> PAGEREF _Toc243333079 \h </w:instrText>
            </w:r>
            <w:r>
              <w:rPr>
                <w:noProof/>
                <w:webHidden/>
              </w:rPr>
            </w:r>
            <w:r>
              <w:rPr>
                <w:noProof/>
                <w:webHidden/>
              </w:rPr>
              <w:fldChar w:fldCharType="separate"/>
            </w:r>
            <w:r>
              <w:rPr>
                <w:noProof/>
                <w:webHidden/>
              </w:rPr>
              <w:t>18</w:t>
            </w:r>
            <w:r>
              <w:rPr>
                <w:noProof/>
                <w:webHidden/>
              </w:rPr>
              <w:fldChar w:fldCharType="end"/>
            </w:r>
          </w:hyperlink>
        </w:p>
        <w:p w14:paraId="67B6F84C" w14:textId="16740FFF" w:rsidR="0027188F" w:rsidRDefault="0027188F">
          <w:pPr>
            <w:pStyle w:val="TDC1"/>
            <w:rPr>
              <w:rFonts w:asciiTheme="minorHAnsi" w:eastAsiaTheme="minorEastAsia" w:hAnsiTheme="minorHAnsi" w:cstheme="minorBidi"/>
              <w:b w:val="0"/>
              <w:bCs w:val="0"/>
              <w:noProof/>
              <w:kern w:val="2"/>
              <w:sz w:val="24"/>
              <w:szCs w:val="24"/>
              <w:lang w:val="es-MX"/>
              <w14:ligatures w14:val="standardContextual"/>
            </w:rPr>
          </w:pPr>
          <w:hyperlink w:anchor="_Toc243333080" w:history="1">
            <w:r w:rsidRPr="003C5459">
              <w:rPr>
                <w:rStyle w:val="Hipervnculo"/>
                <w:noProof/>
              </w:rPr>
              <w:t>5.</w:t>
            </w:r>
            <w:r>
              <w:rPr>
                <w:rFonts w:asciiTheme="minorHAnsi" w:eastAsiaTheme="minorEastAsia" w:hAnsiTheme="minorHAnsi" w:cstheme="minorBidi"/>
                <w:b w:val="0"/>
                <w:bCs w:val="0"/>
                <w:noProof/>
                <w:kern w:val="2"/>
                <w:sz w:val="24"/>
                <w:szCs w:val="24"/>
                <w:lang w:val="es-MX"/>
                <w14:ligatures w14:val="standardContextual"/>
              </w:rPr>
              <w:tab/>
            </w:r>
            <w:r w:rsidRPr="003C5459">
              <w:rPr>
                <w:rStyle w:val="Hipervnculo"/>
                <w:noProof/>
              </w:rPr>
              <w:t>Identificación preliminar de microservicios</w:t>
            </w:r>
            <w:r>
              <w:rPr>
                <w:noProof/>
                <w:webHidden/>
              </w:rPr>
              <w:tab/>
            </w:r>
            <w:r>
              <w:rPr>
                <w:noProof/>
                <w:webHidden/>
              </w:rPr>
              <w:fldChar w:fldCharType="begin"/>
            </w:r>
            <w:r>
              <w:rPr>
                <w:noProof/>
                <w:webHidden/>
              </w:rPr>
              <w:instrText xml:space="preserve"> PAGEREF _Toc243333080 \h </w:instrText>
            </w:r>
            <w:r>
              <w:rPr>
                <w:noProof/>
                <w:webHidden/>
              </w:rPr>
            </w:r>
            <w:r>
              <w:rPr>
                <w:noProof/>
                <w:webHidden/>
              </w:rPr>
              <w:fldChar w:fldCharType="separate"/>
            </w:r>
            <w:r>
              <w:rPr>
                <w:noProof/>
                <w:webHidden/>
              </w:rPr>
              <w:t>19</w:t>
            </w:r>
            <w:r>
              <w:rPr>
                <w:noProof/>
                <w:webHidden/>
              </w:rPr>
              <w:fldChar w:fldCharType="end"/>
            </w:r>
          </w:hyperlink>
        </w:p>
        <w:p w14:paraId="71606628" w14:textId="0C1D379C"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81" w:history="1">
            <w:r w:rsidRPr="003C5459">
              <w:rPr>
                <w:rStyle w:val="Hipervnculo"/>
                <w:noProof/>
              </w:rPr>
              <w:t>5.1</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Metodología</w:t>
            </w:r>
            <w:r>
              <w:rPr>
                <w:noProof/>
                <w:webHidden/>
              </w:rPr>
              <w:tab/>
            </w:r>
            <w:r>
              <w:rPr>
                <w:noProof/>
                <w:webHidden/>
              </w:rPr>
              <w:fldChar w:fldCharType="begin"/>
            </w:r>
            <w:r>
              <w:rPr>
                <w:noProof/>
                <w:webHidden/>
              </w:rPr>
              <w:instrText xml:space="preserve"> PAGEREF _Toc243333081 \h </w:instrText>
            </w:r>
            <w:r>
              <w:rPr>
                <w:noProof/>
                <w:webHidden/>
              </w:rPr>
            </w:r>
            <w:r>
              <w:rPr>
                <w:noProof/>
                <w:webHidden/>
              </w:rPr>
              <w:fldChar w:fldCharType="separate"/>
            </w:r>
            <w:r>
              <w:rPr>
                <w:noProof/>
                <w:webHidden/>
              </w:rPr>
              <w:t>19</w:t>
            </w:r>
            <w:r>
              <w:rPr>
                <w:noProof/>
                <w:webHidden/>
              </w:rPr>
              <w:fldChar w:fldCharType="end"/>
            </w:r>
          </w:hyperlink>
        </w:p>
        <w:p w14:paraId="1A3BF19D" w14:textId="6DA00E45"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82" w:history="1">
            <w:r w:rsidRPr="003C5459">
              <w:rPr>
                <w:rStyle w:val="Hipervnculo"/>
                <w:noProof/>
              </w:rPr>
              <w:t>5.2</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Microservicios identificados</w:t>
            </w:r>
            <w:r>
              <w:rPr>
                <w:noProof/>
                <w:webHidden/>
              </w:rPr>
              <w:tab/>
            </w:r>
            <w:r>
              <w:rPr>
                <w:noProof/>
                <w:webHidden/>
              </w:rPr>
              <w:fldChar w:fldCharType="begin"/>
            </w:r>
            <w:r>
              <w:rPr>
                <w:noProof/>
                <w:webHidden/>
              </w:rPr>
              <w:instrText xml:space="preserve"> PAGEREF _Toc243333082 \h </w:instrText>
            </w:r>
            <w:r>
              <w:rPr>
                <w:noProof/>
                <w:webHidden/>
              </w:rPr>
            </w:r>
            <w:r>
              <w:rPr>
                <w:noProof/>
                <w:webHidden/>
              </w:rPr>
              <w:fldChar w:fldCharType="separate"/>
            </w:r>
            <w:r>
              <w:rPr>
                <w:noProof/>
                <w:webHidden/>
              </w:rPr>
              <w:t>19</w:t>
            </w:r>
            <w:r>
              <w:rPr>
                <w:noProof/>
                <w:webHidden/>
              </w:rPr>
              <w:fldChar w:fldCharType="end"/>
            </w:r>
          </w:hyperlink>
        </w:p>
        <w:p w14:paraId="08B0C8DD" w14:textId="1712921C"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83" w:history="1">
            <w:r w:rsidRPr="003C5459">
              <w:rPr>
                <w:rStyle w:val="Hipervnculo"/>
                <w:noProof/>
              </w:rPr>
              <w:t>5.3</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Justificación técnica de la separación</w:t>
            </w:r>
            <w:r>
              <w:rPr>
                <w:noProof/>
                <w:webHidden/>
              </w:rPr>
              <w:tab/>
            </w:r>
            <w:r>
              <w:rPr>
                <w:noProof/>
                <w:webHidden/>
              </w:rPr>
              <w:fldChar w:fldCharType="begin"/>
            </w:r>
            <w:r>
              <w:rPr>
                <w:noProof/>
                <w:webHidden/>
              </w:rPr>
              <w:instrText xml:space="preserve"> PAGEREF _Toc243333083 \h </w:instrText>
            </w:r>
            <w:r>
              <w:rPr>
                <w:noProof/>
                <w:webHidden/>
              </w:rPr>
            </w:r>
            <w:r>
              <w:rPr>
                <w:noProof/>
                <w:webHidden/>
              </w:rPr>
              <w:fldChar w:fldCharType="separate"/>
            </w:r>
            <w:r>
              <w:rPr>
                <w:noProof/>
                <w:webHidden/>
              </w:rPr>
              <w:t>20</w:t>
            </w:r>
            <w:r>
              <w:rPr>
                <w:noProof/>
                <w:webHidden/>
              </w:rPr>
              <w:fldChar w:fldCharType="end"/>
            </w:r>
          </w:hyperlink>
        </w:p>
        <w:p w14:paraId="01167BF0" w14:textId="37B3364A"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84" w:history="1">
            <w:r w:rsidRPr="003C5459">
              <w:rPr>
                <w:rStyle w:val="Hipervnculo"/>
                <w:noProof/>
              </w:rPr>
              <w:t>5.4</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Comunicación entre contextos delimitados</w:t>
            </w:r>
            <w:r>
              <w:rPr>
                <w:noProof/>
                <w:webHidden/>
              </w:rPr>
              <w:tab/>
            </w:r>
            <w:r>
              <w:rPr>
                <w:noProof/>
                <w:webHidden/>
              </w:rPr>
              <w:fldChar w:fldCharType="begin"/>
            </w:r>
            <w:r>
              <w:rPr>
                <w:noProof/>
                <w:webHidden/>
              </w:rPr>
              <w:instrText xml:space="preserve"> PAGEREF _Toc243333084 \h </w:instrText>
            </w:r>
            <w:r>
              <w:rPr>
                <w:noProof/>
                <w:webHidden/>
              </w:rPr>
            </w:r>
            <w:r>
              <w:rPr>
                <w:noProof/>
                <w:webHidden/>
              </w:rPr>
              <w:fldChar w:fldCharType="separate"/>
            </w:r>
            <w:r>
              <w:rPr>
                <w:noProof/>
                <w:webHidden/>
              </w:rPr>
              <w:t>21</w:t>
            </w:r>
            <w:r>
              <w:rPr>
                <w:noProof/>
                <w:webHidden/>
              </w:rPr>
              <w:fldChar w:fldCharType="end"/>
            </w:r>
          </w:hyperlink>
        </w:p>
        <w:p w14:paraId="569D5BC3" w14:textId="5641B30A"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85" w:history="1">
            <w:r w:rsidRPr="003C5459">
              <w:rPr>
                <w:rStyle w:val="Hipervnculo"/>
                <w:noProof/>
              </w:rPr>
              <w:t>5.5</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Diagrama de contextos delimitados</w:t>
            </w:r>
            <w:r>
              <w:rPr>
                <w:noProof/>
                <w:webHidden/>
              </w:rPr>
              <w:tab/>
            </w:r>
            <w:r>
              <w:rPr>
                <w:noProof/>
                <w:webHidden/>
              </w:rPr>
              <w:fldChar w:fldCharType="begin"/>
            </w:r>
            <w:r>
              <w:rPr>
                <w:noProof/>
                <w:webHidden/>
              </w:rPr>
              <w:instrText xml:space="preserve"> PAGEREF _Toc243333085 \h </w:instrText>
            </w:r>
            <w:r>
              <w:rPr>
                <w:noProof/>
                <w:webHidden/>
              </w:rPr>
            </w:r>
            <w:r>
              <w:rPr>
                <w:noProof/>
                <w:webHidden/>
              </w:rPr>
              <w:fldChar w:fldCharType="separate"/>
            </w:r>
            <w:r>
              <w:rPr>
                <w:noProof/>
                <w:webHidden/>
              </w:rPr>
              <w:t>22</w:t>
            </w:r>
            <w:r>
              <w:rPr>
                <w:noProof/>
                <w:webHidden/>
              </w:rPr>
              <w:fldChar w:fldCharType="end"/>
            </w:r>
          </w:hyperlink>
        </w:p>
        <w:p w14:paraId="6DD61CCF" w14:textId="5B21F2C7" w:rsidR="0027188F" w:rsidRDefault="0027188F">
          <w:pPr>
            <w:pStyle w:val="TDC1"/>
            <w:rPr>
              <w:rFonts w:asciiTheme="minorHAnsi" w:eastAsiaTheme="minorEastAsia" w:hAnsiTheme="minorHAnsi" w:cstheme="minorBidi"/>
              <w:b w:val="0"/>
              <w:bCs w:val="0"/>
              <w:noProof/>
              <w:kern w:val="2"/>
              <w:sz w:val="24"/>
              <w:szCs w:val="24"/>
              <w:lang w:val="es-MX"/>
              <w14:ligatures w14:val="standardContextual"/>
            </w:rPr>
          </w:pPr>
          <w:hyperlink w:anchor="_Toc243333086" w:history="1">
            <w:r w:rsidRPr="003C5459">
              <w:rPr>
                <w:rStyle w:val="Hipervnculo"/>
                <w:noProof/>
              </w:rPr>
              <w:t>6.</w:t>
            </w:r>
            <w:r>
              <w:rPr>
                <w:rFonts w:asciiTheme="minorHAnsi" w:eastAsiaTheme="minorEastAsia" w:hAnsiTheme="minorHAnsi" w:cstheme="minorBidi"/>
                <w:b w:val="0"/>
                <w:bCs w:val="0"/>
                <w:noProof/>
                <w:kern w:val="2"/>
                <w:sz w:val="24"/>
                <w:szCs w:val="24"/>
                <w:lang w:val="es-MX"/>
                <w14:ligatures w14:val="standardContextual"/>
              </w:rPr>
              <w:tab/>
            </w:r>
            <w:r w:rsidRPr="003C5459">
              <w:rPr>
                <w:rStyle w:val="Hipervnculo"/>
                <w:noProof/>
              </w:rPr>
              <w:t>Repositorio del proyecto</w:t>
            </w:r>
            <w:r>
              <w:rPr>
                <w:noProof/>
                <w:webHidden/>
              </w:rPr>
              <w:tab/>
            </w:r>
            <w:r>
              <w:rPr>
                <w:noProof/>
                <w:webHidden/>
              </w:rPr>
              <w:fldChar w:fldCharType="begin"/>
            </w:r>
            <w:r>
              <w:rPr>
                <w:noProof/>
                <w:webHidden/>
              </w:rPr>
              <w:instrText xml:space="preserve"> PAGEREF _Toc243333086 \h </w:instrText>
            </w:r>
            <w:r>
              <w:rPr>
                <w:noProof/>
                <w:webHidden/>
              </w:rPr>
            </w:r>
            <w:r>
              <w:rPr>
                <w:noProof/>
                <w:webHidden/>
              </w:rPr>
              <w:fldChar w:fldCharType="separate"/>
            </w:r>
            <w:r>
              <w:rPr>
                <w:noProof/>
                <w:webHidden/>
              </w:rPr>
              <w:t>23</w:t>
            </w:r>
            <w:r>
              <w:rPr>
                <w:noProof/>
                <w:webHidden/>
              </w:rPr>
              <w:fldChar w:fldCharType="end"/>
            </w:r>
          </w:hyperlink>
        </w:p>
        <w:p w14:paraId="4A1C15C1" w14:textId="7E763976" w:rsidR="0027188F" w:rsidRDefault="0027188F">
          <w:pPr>
            <w:pStyle w:val="TDC1"/>
            <w:rPr>
              <w:rFonts w:asciiTheme="minorHAnsi" w:eastAsiaTheme="minorEastAsia" w:hAnsiTheme="minorHAnsi" w:cstheme="minorBidi"/>
              <w:b w:val="0"/>
              <w:bCs w:val="0"/>
              <w:noProof/>
              <w:kern w:val="2"/>
              <w:sz w:val="24"/>
              <w:szCs w:val="24"/>
              <w:lang w:val="es-MX"/>
              <w14:ligatures w14:val="standardContextual"/>
            </w:rPr>
          </w:pPr>
          <w:hyperlink w:anchor="_Toc243333087" w:history="1">
            <w:r w:rsidRPr="003C5459">
              <w:rPr>
                <w:rStyle w:val="Hipervnculo"/>
                <w:noProof/>
              </w:rPr>
              <w:t>7.</w:t>
            </w:r>
            <w:r>
              <w:rPr>
                <w:rFonts w:asciiTheme="minorHAnsi" w:eastAsiaTheme="minorEastAsia" w:hAnsiTheme="minorHAnsi" w:cstheme="minorBidi"/>
                <w:b w:val="0"/>
                <w:bCs w:val="0"/>
                <w:noProof/>
                <w:kern w:val="2"/>
                <w:sz w:val="24"/>
                <w:szCs w:val="24"/>
                <w:lang w:val="es-MX"/>
                <w14:ligatures w14:val="standardContextual"/>
              </w:rPr>
              <w:tab/>
            </w:r>
            <w:r w:rsidRPr="003C5459">
              <w:rPr>
                <w:rStyle w:val="Hipervnculo"/>
                <w:noProof/>
              </w:rPr>
              <w:t>Bitácora de uso de IA</w:t>
            </w:r>
            <w:r>
              <w:rPr>
                <w:noProof/>
                <w:webHidden/>
              </w:rPr>
              <w:tab/>
            </w:r>
            <w:r>
              <w:rPr>
                <w:noProof/>
                <w:webHidden/>
              </w:rPr>
              <w:fldChar w:fldCharType="begin"/>
            </w:r>
            <w:r>
              <w:rPr>
                <w:noProof/>
                <w:webHidden/>
              </w:rPr>
              <w:instrText xml:space="preserve"> PAGEREF _Toc243333087 \h </w:instrText>
            </w:r>
            <w:r>
              <w:rPr>
                <w:noProof/>
                <w:webHidden/>
              </w:rPr>
            </w:r>
            <w:r>
              <w:rPr>
                <w:noProof/>
                <w:webHidden/>
              </w:rPr>
              <w:fldChar w:fldCharType="separate"/>
            </w:r>
            <w:r>
              <w:rPr>
                <w:noProof/>
                <w:webHidden/>
              </w:rPr>
              <w:t>24</w:t>
            </w:r>
            <w:r>
              <w:rPr>
                <w:noProof/>
                <w:webHidden/>
              </w:rPr>
              <w:fldChar w:fldCharType="end"/>
            </w:r>
          </w:hyperlink>
        </w:p>
        <w:p w14:paraId="327B5DF6" w14:textId="1EE88356"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88" w:history="1">
            <w:r w:rsidRPr="003C5459">
              <w:rPr>
                <w:rStyle w:val="Hipervnculo"/>
                <w:noProof/>
              </w:rPr>
              <w:t>7.1</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Datos de la bitácora</w:t>
            </w:r>
            <w:r>
              <w:rPr>
                <w:noProof/>
                <w:webHidden/>
              </w:rPr>
              <w:tab/>
            </w:r>
            <w:r>
              <w:rPr>
                <w:noProof/>
                <w:webHidden/>
              </w:rPr>
              <w:fldChar w:fldCharType="begin"/>
            </w:r>
            <w:r>
              <w:rPr>
                <w:noProof/>
                <w:webHidden/>
              </w:rPr>
              <w:instrText xml:space="preserve"> PAGEREF _Toc243333088 \h </w:instrText>
            </w:r>
            <w:r>
              <w:rPr>
                <w:noProof/>
                <w:webHidden/>
              </w:rPr>
            </w:r>
            <w:r>
              <w:rPr>
                <w:noProof/>
                <w:webHidden/>
              </w:rPr>
              <w:fldChar w:fldCharType="separate"/>
            </w:r>
            <w:r>
              <w:rPr>
                <w:noProof/>
                <w:webHidden/>
              </w:rPr>
              <w:t>24</w:t>
            </w:r>
            <w:r>
              <w:rPr>
                <w:noProof/>
                <w:webHidden/>
              </w:rPr>
              <w:fldChar w:fldCharType="end"/>
            </w:r>
          </w:hyperlink>
        </w:p>
        <w:p w14:paraId="41D07FD5" w14:textId="6E676AB0"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89" w:history="1">
            <w:r w:rsidRPr="003C5459">
              <w:rPr>
                <w:rStyle w:val="Hipervnculo"/>
                <w:noProof/>
              </w:rPr>
              <w:t>7.2</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Registro de interacciones</w:t>
            </w:r>
            <w:r>
              <w:rPr>
                <w:noProof/>
                <w:webHidden/>
              </w:rPr>
              <w:tab/>
            </w:r>
            <w:r>
              <w:rPr>
                <w:noProof/>
                <w:webHidden/>
              </w:rPr>
              <w:fldChar w:fldCharType="begin"/>
            </w:r>
            <w:r>
              <w:rPr>
                <w:noProof/>
                <w:webHidden/>
              </w:rPr>
              <w:instrText xml:space="preserve"> PAGEREF _Toc243333089 \h </w:instrText>
            </w:r>
            <w:r>
              <w:rPr>
                <w:noProof/>
                <w:webHidden/>
              </w:rPr>
            </w:r>
            <w:r>
              <w:rPr>
                <w:noProof/>
                <w:webHidden/>
              </w:rPr>
              <w:fldChar w:fldCharType="separate"/>
            </w:r>
            <w:r>
              <w:rPr>
                <w:noProof/>
                <w:webHidden/>
              </w:rPr>
              <w:t>24</w:t>
            </w:r>
            <w:r>
              <w:rPr>
                <w:noProof/>
                <w:webHidden/>
              </w:rPr>
              <w:fldChar w:fldCharType="end"/>
            </w:r>
          </w:hyperlink>
        </w:p>
        <w:p w14:paraId="76C4E392" w14:textId="6DC40007" w:rsidR="0027188F" w:rsidRDefault="0027188F">
          <w:pPr>
            <w:pStyle w:val="TDC2"/>
            <w:rPr>
              <w:rFonts w:asciiTheme="minorHAnsi" w:eastAsiaTheme="minorEastAsia" w:hAnsiTheme="minorHAnsi" w:cstheme="minorBidi"/>
              <w:noProof/>
              <w:kern w:val="2"/>
              <w:sz w:val="24"/>
              <w:szCs w:val="24"/>
              <w:lang w:val="es-MX"/>
              <w14:ligatures w14:val="standardContextual"/>
            </w:rPr>
          </w:pPr>
          <w:hyperlink w:anchor="_Toc243333090" w:history="1">
            <w:r w:rsidRPr="003C5459">
              <w:rPr>
                <w:rStyle w:val="Hipervnculo"/>
                <w:noProof/>
              </w:rPr>
              <w:t>7.3</w:t>
            </w:r>
            <w:r>
              <w:rPr>
                <w:rFonts w:asciiTheme="minorHAnsi" w:eastAsiaTheme="minorEastAsia" w:hAnsiTheme="minorHAnsi" w:cstheme="minorBidi"/>
                <w:noProof/>
                <w:kern w:val="2"/>
                <w:sz w:val="24"/>
                <w:szCs w:val="24"/>
                <w:lang w:val="es-MX"/>
                <w14:ligatures w14:val="standardContextual"/>
              </w:rPr>
              <w:tab/>
            </w:r>
            <w:r w:rsidRPr="003C5459">
              <w:rPr>
                <w:rStyle w:val="Hipervnculo"/>
                <w:noProof/>
              </w:rPr>
              <w:t>Reflexión final de la fase</w:t>
            </w:r>
            <w:r>
              <w:rPr>
                <w:noProof/>
                <w:webHidden/>
              </w:rPr>
              <w:tab/>
            </w:r>
            <w:r>
              <w:rPr>
                <w:noProof/>
                <w:webHidden/>
              </w:rPr>
              <w:fldChar w:fldCharType="begin"/>
            </w:r>
            <w:r>
              <w:rPr>
                <w:noProof/>
                <w:webHidden/>
              </w:rPr>
              <w:instrText xml:space="preserve"> PAGEREF _Toc243333090 \h </w:instrText>
            </w:r>
            <w:r>
              <w:rPr>
                <w:noProof/>
                <w:webHidden/>
              </w:rPr>
            </w:r>
            <w:r>
              <w:rPr>
                <w:noProof/>
                <w:webHidden/>
              </w:rPr>
              <w:fldChar w:fldCharType="separate"/>
            </w:r>
            <w:r>
              <w:rPr>
                <w:noProof/>
                <w:webHidden/>
              </w:rPr>
              <w:t>26</w:t>
            </w:r>
            <w:r>
              <w:rPr>
                <w:noProof/>
                <w:webHidden/>
              </w:rPr>
              <w:fldChar w:fldCharType="end"/>
            </w:r>
          </w:hyperlink>
        </w:p>
        <w:p w14:paraId="7A5B4608" w14:textId="6779F282" w:rsidR="0027188F" w:rsidRDefault="0027188F">
          <w:pPr>
            <w:pStyle w:val="TDC1"/>
            <w:rPr>
              <w:rFonts w:asciiTheme="minorHAnsi" w:eastAsiaTheme="minorEastAsia" w:hAnsiTheme="minorHAnsi" w:cstheme="minorBidi"/>
              <w:b w:val="0"/>
              <w:bCs w:val="0"/>
              <w:noProof/>
              <w:kern w:val="2"/>
              <w:sz w:val="24"/>
              <w:szCs w:val="24"/>
              <w:lang w:val="es-MX"/>
              <w14:ligatures w14:val="standardContextual"/>
            </w:rPr>
          </w:pPr>
          <w:hyperlink w:anchor="_Toc243333091" w:history="1">
            <w:r w:rsidRPr="003C5459">
              <w:rPr>
                <w:rStyle w:val="Hipervnculo"/>
                <w:noProof/>
              </w:rPr>
              <w:t>8.</w:t>
            </w:r>
            <w:r>
              <w:rPr>
                <w:rFonts w:asciiTheme="minorHAnsi" w:eastAsiaTheme="minorEastAsia" w:hAnsiTheme="minorHAnsi" w:cstheme="minorBidi"/>
                <w:b w:val="0"/>
                <w:bCs w:val="0"/>
                <w:noProof/>
                <w:kern w:val="2"/>
                <w:sz w:val="24"/>
                <w:szCs w:val="24"/>
                <w:lang w:val="es-MX"/>
                <w14:ligatures w14:val="standardContextual"/>
              </w:rPr>
              <w:tab/>
            </w:r>
            <w:r w:rsidRPr="003C5459">
              <w:rPr>
                <w:rStyle w:val="Hipervnculo"/>
                <w:noProof/>
              </w:rPr>
              <w:t>Conclusiones</w:t>
            </w:r>
            <w:r>
              <w:rPr>
                <w:noProof/>
                <w:webHidden/>
              </w:rPr>
              <w:tab/>
            </w:r>
            <w:r>
              <w:rPr>
                <w:noProof/>
                <w:webHidden/>
              </w:rPr>
              <w:fldChar w:fldCharType="begin"/>
            </w:r>
            <w:r>
              <w:rPr>
                <w:noProof/>
                <w:webHidden/>
              </w:rPr>
              <w:instrText xml:space="preserve"> PAGEREF _Toc243333091 \h </w:instrText>
            </w:r>
            <w:r>
              <w:rPr>
                <w:noProof/>
                <w:webHidden/>
              </w:rPr>
            </w:r>
            <w:r>
              <w:rPr>
                <w:noProof/>
                <w:webHidden/>
              </w:rPr>
              <w:fldChar w:fldCharType="separate"/>
            </w:r>
            <w:r>
              <w:rPr>
                <w:noProof/>
                <w:webHidden/>
              </w:rPr>
              <w:t>28</w:t>
            </w:r>
            <w:r>
              <w:rPr>
                <w:noProof/>
                <w:webHidden/>
              </w:rPr>
              <w:fldChar w:fldCharType="end"/>
            </w:r>
          </w:hyperlink>
        </w:p>
        <w:p w14:paraId="1A9A93A0" w14:textId="1B2DAECD" w:rsidR="0027188F" w:rsidRDefault="0027188F">
          <w:pPr>
            <w:pStyle w:val="TDC1"/>
            <w:rPr>
              <w:rFonts w:asciiTheme="minorHAnsi" w:eastAsiaTheme="minorEastAsia" w:hAnsiTheme="minorHAnsi" w:cstheme="minorBidi"/>
              <w:b w:val="0"/>
              <w:bCs w:val="0"/>
              <w:noProof/>
              <w:kern w:val="2"/>
              <w:sz w:val="24"/>
              <w:szCs w:val="24"/>
              <w:lang w:val="es-MX"/>
              <w14:ligatures w14:val="standardContextual"/>
            </w:rPr>
          </w:pPr>
          <w:hyperlink w:anchor="_Toc243333092" w:history="1">
            <w:r w:rsidRPr="003C5459">
              <w:rPr>
                <w:rStyle w:val="Hipervnculo"/>
                <w:noProof/>
              </w:rPr>
              <w:t>Bibliografía</w:t>
            </w:r>
            <w:r>
              <w:rPr>
                <w:noProof/>
                <w:webHidden/>
              </w:rPr>
              <w:tab/>
            </w:r>
            <w:r>
              <w:rPr>
                <w:noProof/>
                <w:webHidden/>
              </w:rPr>
              <w:fldChar w:fldCharType="begin"/>
            </w:r>
            <w:r>
              <w:rPr>
                <w:noProof/>
                <w:webHidden/>
              </w:rPr>
              <w:instrText xml:space="preserve"> PAGEREF _Toc243333092 \h </w:instrText>
            </w:r>
            <w:r>
              <w:rPr>
                <w:noProof/>
                <w:webHidden/>
              </w:rPr>
            </w:r>
            <w:r>
              <w:rPr>
                <w:noProof/>
                <w:webHidden/>
              </w:rPr>
              <w:fldChar w:fldCharType="separate"/>
            </w:r>
            <w:r>
              <w:rPr>
                <w:noProof/>
                <w:webHidden/>
              </w:rPr>
              <w:t>29</w:t>
            </w:r>
            <w:r>
              <w:rPr>
                <w:noProof/>
                <w:webHidden/>
              </w:rPr>
              <w:fldChar w:fldCharType="end"/>
            </w:r>
          </w:hyperlink>
        </w:p>
        <w:p w14:paraId="7F391A16" w14:textId="371E1833" w:rsidR="001522EB" w:rsidRDefault="0013026C">
          <w:pPr>
            <w:pStyle w:val="TDC1"/>
            <w:tabs>
              <w:tab w:val="right" w:pos="8749"/>
            </w:tabs>
          </w:pPr>
          <w:r>
            <w:fldChar w:fldCharType="end"/>
          </w:r>
        </w:p>
      </w:sdtContent>
    </w:sdt>
    <w:p w14:paraId="4CAAAC36" w14:textId="77777777" w:rsidR="001522EB" w:rsidRDefault="0013026C">
      <w:pPr>
        <w:pStyle w:val="Ttulo1"/>
        <w:pageBreakBefore/>
        <w:ind w:left="0" w:firstLine="0"/>
      </w:pPr>
      <w:bookmarkStart w:id="1" w:name="_Toc243333058"/>
      <w:r>
        <w:t>Introducción</w:t>
      </w:r>
      <w:bookmarkEnd w:id="1"/>
    </w:p>
    <w:p w14:paraId="4A9D74F3" w14:textId="77777777" w:rsidR="001522EB" w:rsidRDefault="0013026C">
      <w:pPr>
        <w:spacing w:after="240" w:line="360" w:lineRule="auto"/>
        <w:jc w:val="both"/>
      </w:pPr>
      <w:r>
        <w:rPr>
          <w:color w:val="000000"/>
        </w:rPr>
        <w:t>El proyecto de aula de Ingeniería de Software II se desarrolla con la metodología de Aprendizaje Basado en Proyectos (ABP) y plantea un problema de ingeniería real: modernizar el control de inventario de una empresa que hoy lo gestiona de forma manual o con herramientas obsoletas. El equipo actúa como proveedor de software y debe investigar, diseñar, construir y validar un sistema de gestión de inventarios con arquitectura de microservicios, contenerizado con Docker, orquestado con Kubernetes y expuesto a t</w:t>
      </w:r>
      <w:r>
        <w:rPr>
          <w:color w:val="000000"/>
        </w:rPr>
        <w:t>ravés de un API Gateway propio.</w:t>
      </w:r>
    </w:p>
    <w:p w14:paraId="159C663F" w14:textId="77777777" w:rsidR="001522EB" w:rsidRDefault="0013026C">
      <w:pPr>
        <w:spacing w:after="240" w:line="360" w:lineRule="auto"/>
        <w:jc w:val="both"/>
      </w:pPr>
      <w:r>
        <w:rPr>
          <w:color w:val="000000"/>
        </w:rPr>
        <w:t>Este documento corresponde a la Entrega 1, fase de investigación y fundamentación. Su objetivo es sustentar, antes de escribir código, qué sistema se va a construir y por qué conviene construirlo con microservicios. Como caso de estudio se eligió un supermercado mediano con varios miles de referencias de alta rotación, varias bodegas y un sistema de punto de venta (POS) independiente.</w:t>
      </w:r>
    </w:p>
    <w:p w14:paraId="2C0B3BCE" w14:textId="77777777" w:rsidR="001522EB" w:rsidRDefault="0013026C">
      <w:pPr>
        <w:spacing w:after="240" w:line="360" w:lineRule="auto"/>
        <w:jc w:val="both"/>
      </w:pPr>
      <w:r>
        <w:rPr>
          <w:color w:val="000000"/>
        </w:rPr>
        <w:t>La metodología combina tres fuentes: la documentación oficial de sistemas existentes, la literatura técnica sobre arquitecturas de software (Lewis y Fowler, 2014; Fowler, 2015a; Microsoft, 2025) y el análisis del dominio del supermercado con el enfoque de diseño guiado por el dominio (DDD). El alcance de la entrega es conceptual: los contratos de API, los modelos de datos y la estrategia de despliegue se detallarán en la Entrega 2.</w:t>
      </w:r>
    </w:p>
    <w:p w14:paraId="46021B29" w14:textId="77777777" w:rsidR="001522EB" w:rsidRDefault="0013026C">
      <w:pPr>
        <w:spacing w:after="240" w:line="360" w:lineRule="auto"/>
        <w:jc w:val="both"/>
      </w:pPr>
      <w:r>
        <w:rPr>
          <w:color w:val="000000"/>
        </w:rPr>
        <w:t xml:space="preserve">El documento se organiza así: el capítulo 1 analiza tres sistemas similares; el capítulo 2 define el problema y el alcance; el capítulo 3 especifica los requerimientos funcionales y no funcionales; el capítulo 4 justifica la arquitectura de microservicios frente a la monolítica; el capítulo 5 identifica de forma preliminar los microservicios y su comunicación; el capítulo 6 describe el repositorio del proyecto; el capítulo 7 presenta la bitácora de uso de inteligencia artificial (IA), y el capítulo 8 reúne </w:t>
      </w:r>
      <w:r>
        <w:rPr>
          <w:color w:val="000000"/>
        </w:rPr>
        <w:t>las conclusiones.</w:t>
      </w:r>
    </w:p>
    <w:p w14:paraId="59D8DF1E" w14:textId="77777777" w:rsidR="001522EB" w:rsidRDefault="0013026C">
      <w:pPr>
        <w:pStyle w:val="Ttulo1"/>
        <w:pageBreakBefore/>
        <w:numPr>
          <w:ilvl w:val="0"/>
          <w:numId w:val="3"/>
        </w:numPr>
      </w:pPr>
      <w:bookmarkStart w:id="2" w:name="_Toc243333059"/>
      <w:r>
        <w:t>Investigación de sistemas similares de gestión de inventarios</w:t>
      </w:r>
      <w:bookmarkEnd w:id="2"/>
    </w:p>
    <w:p w14:paraId="6FF458F6" w14:textId="77777777" w:rsidR="001522EB" w:rsidRDefault="0013026C">
      <w:pPr>
        <w:spacing w:after="240" w:line="360" w:lineRule="auto"/>
        <w:jc w:val="both"/>
      </w:pPr>
      <w:r>
        <w:rPr>
          <w:color w:val="000000"/>
        </w:rPr>
        <w:t>Se analizaron tres sistemas que representan dos modelos de mercado: Odoo Inventory y ERPNext, de código abierto, y Zoho Inventory, un servicio comercial en la nube (SaaS). Se eligieron porque publican documentación oficial y porque sus funciones de inventario se pueden contrastar con los requerimientos RF01–RF14 del proyecto (capítulo 3). Para cada sistema se describen sus funcionalidades, fortalezas y debilidades; después se comparan en la Tabla 1, que agrega su arquitectura y su experiencia de usuario.</w:t>
      </w:r>
    </w:p>
    <w:p w14:paraId="0C05D81F" w14:textId="77777777" w:rsidR="001522EB" w:rsidRDefault="0013026C">
      <w:pPr>
        <w:pStyle w:val="Ttulo2"/>
        <w:numPr>
          <w:ilvl w:val="1"/>
          <w:numId w:val="3"/>
        </w:numPr>
      </w:pPr>
      <w:bookmarkStart w:id="3" w:name="_Toc243333060"/>
      <w:r>
        <w:t>Odoo Inventory</w:t>
      </w:r>
      <w:bookmarkEnd w:id="3"/>
    </w:p>
    <w:p w14:paraId="5740CF63" w14:textId="77777777" w:rsidR="001522EB" w:rsidRDefault="0013026C">
      <w:pPr>
        <w:spacing w:after="240" w:line="360" w:lineRule="auto"/>
        <w:jc w:val="both"/>
      </w:pPr>
      <w:r>
        <w:rPr>
          <w:color w:val="000000"/>
        </w:rPr>
        <w:t>Gestiona almacenamiento, existencias y reabastecimiento en varias bodegas, con traslados entre ellas. Permite operar recepciones, picking y ajustes con lector de código de barras, ofrece un portal de devoluciones y notifica bajo stock a los responsables de compras. También ofrece una API para integrar operadores logísticos y dispositivos como básculas, lectores y RFID (Odoo S.A., s. f.</w:t>
      </w:r>
      <w:r>
        <w:rPr>
          <w:color w:val="000000"/>
        </w:rPr>
        <w:noBreakHyphen/>
      </w:r>
      <w:r>
        <w:rPr>
          <w:color w:val="000000"/>
        </w:rPr>
        <w:t>c). Las reglas de reabastecimiento generan una solicitud de cotización (ruta Buy) o una orden de manufactura (ruta Manufacture) cuando el pronóstico cae por debajo del mínimo, ya sea al ejecutarse el planificador o al confirmar una orden de venta (Odoo S.A., s. f.</w:t>
      </w:r>
      <w:r>
        <w:rPr>
          <w:color w:val="000000"/>
        </w:rPr>
        <w:noBreakHyphen/>
        <w:t>d).</w:t>
      </w:r>
    </w:p>
    <w:p w14:paraId="6C60F6A8" w14:textId="77777777" w:rsidR="001522EB" w:rsidRDefault="0013026C">
      <w:pPr>
        <w:spacing w:after="240" w:line="360" w:lineRule="auto"/>
        <w:jc w:val="both"/>
      </w:pPr>
      <w:r>
        <w:rPr>
          <w:b/>
          <w:bCs/>
          <w:color w:val="000000"/>
        </w:rPr>
        <w:t>Fortalezas.</w:t>
      </w:r>
      <w:r>
        <w:rPr>
          <w:color w:val="000000"/>
        </w:rPr>
        <w:t xml:space="preserve"> Cubre de forma integral inventario, compras y manufactura. Su reposición es automática y su diseño modular facilita ampliarlo. La edición Community es de código abierto (Odoo S.A., s. f.</w:t>
      </w:r>
      <w:r>
        <w:rPr>
          <w:color w:val="000000"/>
        </w:rPr>
        <w:noBreakHyphen/>
        <w:t>b).</w:t>
      </w:r>
    </w:p>
    <w:p w14:paraId="5EE3883C" w14:textId="77777777" w:rsidR="001522EB" w:rsidRDefault="0013026C">
      <w:pPr>
        <w:spacing w:after="240" w:line="360" w:lineRule="auto"/>
        <w:jc w:val="both"/>
      </w:pPr>
      <w:r>
        <w:rPr>
          <w:b/>
          <w:bCs/>
          <w:color w:val="000000"/>
        </w:rPr>
        <w:t>Debilidades.</w:t>
      </w:r>
      <w:r>
        <w:rPr>
          <w:color w:val="000000"/>
        </w:rPr>
        <w:t xml:space="preserve"> Automatizar la reposición exige configurar antes varios parámetros del producto: tipo, seguimiento de inventario, proveedor y ruta (Odoo S.A., s. f.</w:t>
      </w:r>
      <w:r>
        <w:rPr>
          <w:color w:val="000000"/>
        </w:rPr>
        <w:noBreakHyphen/>
        <w:t xml:space="preserve">d). </w:t>
      </w:r>
      <w:r>
        <w:rPr>
          <w:i/>
          <w:iCs/>
          <w:color w:val="000000"/>
        </w:rPr>
        <w:t>Análisis propio:</w:t>
      </w:r>
      <w:r>
        <w:rPr>
          <w:color w:val="000000"/>
        </w:rPr>
        <w:t xml:space="preserve"> su arquitectura multicapa comparte una sola capa lógica y una sola base de datos PostgreSQL (Odoo S.A., s. f.</w:t>
      </w:r>
      <w:r>
        <w:rPr>
          <w:color w:val="000000"/>
        </w:rPr>
        <w:noBreakHyphen/>
        <w:t>a), por lo que escalar implica replicar la aplicación completa. La edición Enterprise es propietaria (Odoo S.A., s. f.</w:t>
      </w:r>
      <w:r>
        <w:rPr>
          <w:color w:val="000000"/>
        </w:rPr>
        <w:noBreakHyphen/>
        <w:t>b).</w:t>
      </w:r>
    </w:p>
    <w:p w14:paraId="59EE53B7" w14:textId="77777777" w:rsidR="001522EB" w:rsidRDefault="0013026C">
      <w:pPr>
        <w:pStyle w:val="Ttulo2"/>
        <w:numPr>
          <w:ilvl w:val="1"/>
          <w:numId w:val="3"/>
        </w:numPr>
      </w:pPr>
      <w:bookmarkStart w:id="4" w:name="_Toc243333061"/>
      <w:r>
        <w:t>ERPNext (módulo Stock)</w:t>
      </w:r>
      <w:bookmarkEnd w:id="4"/>
    </w:p>
    <w:p w14:paraId="270E7F3B" w14:textId="77777777" w:rsidR="001522EB" w:rsidRDefault="0013026C">
      <w:pPr>
        <w:spacing w:after="240" w:line="360" w:lineRule="auto"/>
        <w:jc w:val="both"/>
      </w:pPr>
      <w:r>
        <w:rPr>
          <w:color w:val="000000"/>
        </w:rPr>
        <w:t>Los movimientos se registran con «Stock Entry»: material recibido (suma a la bodega destino), material emitido (resta de la bodega origen) y traslado entre bodegas (Frappe Technologies, s. f.</w:t>
      </w:r>
      <w:r>
        <w:rPr>
          <w:color w:val="000000"/>
        </w:rPr>
        <w:noBreakHyphen/>
        <w:t>g). El Stock Ledger Report registra las entradas, salidas y traslados con cantidad, valor y bodega (Frappe Technologies, s. f.</w:t>
      </w:r>
      <w:r>
        <w:rPr>
          <w:color w:val="000000"/>
        </w:rPr>
        <w:noBreakHyphen/>
        <w:t>h). El sistema está construido sobre Frappe Framework, un framework web de código abierto escrito en Python y JavaScript (Frappe Technologies, s. f.</w:t>
      </w:r>
      <w:r>
        <w:rPr>
          <w:color w:val="000000"/>
        </w:rPr>
        <w:noBreakHyphen/>
        <w:t>b, s. f.</w:t>
      </w:r>
      <w:r>
        <w:rPr>
          <w:color w:val="000000"/>
        </w:rPr>
        <w:noBreakHyphen/>
        <w:t>e).</w:t>
      </w:r>
    </w:p>
    <w:p w14:paraId="7233B58D" w14:textId="77777777" w:rsidR="001522EB" w:rsidRDefault="0013026C">
      <w:pPr>
        <w:spacing w:after="240" w:line="360" w:lineRule="auto"/>
        <w:jc w:val="both"/>
      </w:pPr>
      <w:r>
        <w:rPr>
          <w:b/>
          <w:bCs/>
          <w:color w:val="000000"/>
        </w:rPr>
        <w:t>Fortalezas.</w:t>
      </w:r>
      <w:r>
        <w:rPr>
          <w:color w:val="000000"/>
        </w:rPr>
        <w:t xml:space="preserve"> Es gratuito y de código abierto (Frappe Technologies, s. f.</w:t>
      </w:r>
      <w:r>
        <w:rPr>
          <w:color w:val="000000"/>
        </w:rPr>
        <w:noBreakHyphen/>
        <w:t>c, s. f.</w:t>
      </w:r>
      <w:r>
        <w:rPr>
          <w:color w:val="000000"/>
        </w:rPr>
        <w:noBreakHyphen/>
        <w:t>d), y su ledger de stock es detallado. Permite definir niveles de reorden por bodega, con creación automática de solicitudes de material (Frappe Technologies, s. f.</w:t>
      </w:r>
      <w:r>
        <w:rPr>
          <w:color w:val="000000"/>
        </w:rPr>
        <w:noBreakHyphen/>
        <w:t>a), y se extiende con aplicaciones propias.</w:t>
      </w:r>
    </w:p>
    <w:p w14:paraId="44C8C820" w14:textId="77777777" w:rsidR="001522EB" w:rsidRDefault="0013026C">
      <w:pPr>
        <w:spacing w:after="240" w:line="360" w:lineRule="auto"/>
        <w:jc w:val="both"/>
      </w:pPr>
      <w:r>
        <w:rPr>
          <w:b/>
          <w:bCs/>
          <w:color w:val="000000"/>
        </w:rPr>
        <w:t>Debilidades.</w:t>
      </w:r>
      <w:r>
        <w:rPr>
          <w:color w:val="000000"/>
        </w:rPr>
        <w:t xml:space="preserve"> Es un monolito extenso, con una curva de aprendizaje considerable. En la documentación consultada (v12), la solicitud de material por nivel de reorden se genera a una hora programada, no en el momento del movimiento (Frappe Technologies, s. f.</w:t>
      </w:r>
      <w:r>
        <w:rPr>
          <w:color w:val="000000"/>
        </w:rPr>
        <w:noBreakHyphen/>
        <w:t>f).</w:t>
      </w:r>
    </w:p>
    <w:p w14:paraId="65B24EA9" w14:textId="77777777" w:rsidR="001522EB" w:rsidRDefault="0013026C">
      <w:pPr>
        <w:pStyle w:val="Ttulo2"/>
        <w:numPr>
          <w:ilvl w:val="1"/>
          <w:numId w:val="3"/>
        </w:numPr>
      </w:pPr>
      <w:bookmarkStart w:id="5" w:name="_Toc243333062"/>
      <w:r>
        <w:t>Zoho Inventory</w:t>
      </w:r>
      <w:bookmarkEnd w:id="5"/>
    </w:p>
    <w:p w14:paraId="04809DD6" w14:textId="77777777" w:rsidR="001522EB" w:rsidRDefault="0013026C">
      <w:pPr>
        <w:spacing w:after="240" w:line="360" w:lineRule="auto"/>
        <w:jc w:val="both"/>
      </w:pPr>
      <w:r>
        <w:rPr>
          <w:color w:val="000000"/>
        </w:rPr>
        <w:t>Ofrece ítems y grupos de ítems, ítems compuestos (kits), seguimiento por serie y por lote, listas de precios, costeo por lotes FIFO, reportes y bitácoras de actividad. Incluye además órdenes de compra y de venta, recepciones de compra, integración con plataformas de comercio electrónico, más de 30 transportistas, pasarelas de pago, Zoho Books y un panel interactivo (Zoho Corporation, s. f.</w:t>
      </w:r>
      <w:r>
        <w:rPr>
          <w:color w:val="000000"/>
        </w:rPr>
        <w:noBreakHyphen/>
        <w:t>c). El seguimiento por serie y por lote se activa como característica adicional de los ítems (Zoho Corporation, s. f.</w:t>
      </w:r>
      <w:r>
        <w:rPr>
          <w:color w:val="000000"/>
        </w:rPr>
        <w:noBreakHyphen/>
      </w:r>
      <w:r>
        <w:rPr>
          <w:color w:val="000000"/>
        </w:rPr>
        <w:t>a), y el manejo de varias bodegas se configura en los ajustes de bodega, también disponibles por API (Zoho Corporation, s. f.</w:t>
      </w:r>
      <w:r>
        <w:rPr>
          <w:color w:val="000000"/>
        </w:rPr>
        <w:noBreakHyphen/>
        <w:t>b).</w:t>
      </w:r>
    </w:p>
    <w:p w14:paraId="5533D88F" w14:textId="77777777" w:rsidR="001522EB" w:rsidRDefault="0013026C">
      <w:pPr>
        <w:spacing w:after="240" w:line="360" w:lineRule="auto"/>
        <w:jc w:val="both"/>
      </w:pPr>
      <w:r>
        <w:rPr>
          <w:b/>
          <w:bCs/>
          <w:color w:val="000000"/>
        </w:rPr>
        <w:t>Fortalezas.</w:t>
      </w:r>
      <w:r>
        <w:rPr>
          <w:color w:val="000000"/>
        </w:rPr>
        <w:t xml:space="preserve"> Se adopta rápido y no requiere infraestructura propia. Se integra con comercio electrónico, envíos y pagos, y tiene aplicaciones móviles.</w:t>
      </w:r>
    </w:p>
    <w:p w14:paraId="4107BA2B" w14:textId="77777777" w:rsidR="001522EB" w:rsidRDefault="0013026C">
      <w:pPr>
        <w:spacing w:after="240" w:line="360" w:lineRule="auto"/>
        <w:jc w:val="both"/>
      </w:pPr>
      <w:r>
        <w:rPr>
          <w:b/>
          <w:bCs/>
          <w:color w:val="000000"/>
        </w:rPr>
        <w:t>Debilidades.</w:t>
      </w:r>
      <w:r>
        <w:rPr>
          <w:color w:val="000000"/>
        </w:rPr>
        <w:t xml:space="preserve"> Es de código cerrado, así que no se controla el modelo de datos ni la arquitectura. Su personalización se limita a campos personalizados, API y extensiones. </w:t>
      </w:r>
      <w:r>
        <w:rPr>
          <w:i/>
          <w:iCs/>
          <w:color w:val="000000"/>
        </w:rPr>
        <w:t>Análisis propio:</w:t>
      </w:r>
      <w:r>
        <w:rPr>
          <w:color w:val="000000"/>
        </w:rPr>
        <w:t xml:space="preserve"> incluye ventas, facturación y envíos, que nuestro alcance excluye.</w:t>
      </w:r>
    </w:p>
    <w:p w14:paraId="607DE3C1" w14:textId="77777777" w:rsidR="001522EB" w:rsidRDefault="0013026C">
      <w:pPr>
        <w:pStyle w:val="Ttulo2"/>
        <w:numPr>
          <w:ilvl w:val="1"/>
          <w:numId w:val="3"/>
        </w:numPr>
      </w:pPr>
      <w:bookmarkStart w:id="6" w:name="_Toc243333063"/>
      <w:r>
        <w:t>Cuadro comparativo</w:t>
      </w:r>
      <w:bookmarkEnd w:id="6"/>
    </w:p>
    <w:p w14:paraId="58973EAD" w14:textId="77777777" w:rsidR="001522EB" w:rsidRDefault="0013026C">
      <w:pPr>
        <w:spacing w:after="240" w:line="360" w:lineRule="auto"/>
        <w:jc w:val="both"/>
      </w:pPr>
      <w:r>
        <w:rPr>
          <w:color w:val="000000"/>
        </w:rPr>
        <w:t>La Tabla 1 resume los tres sistemas según su modelo de licencia, funcionalidades, arquitectura, experiencia de usuario, fortalezas y debilidades, y señala qué aporta cada uno al alcance del sistema propio.</w:t>
      </w:r>
    </w:p>
    <w:p w14:paraId="3D4C4B57" w14:textId="77777777" w:rsidR="001522EB" w:rsidRDefault="0013026C">
      <w:pPr>
        <w:keepNext/>
        <w:tabs>
          <w:tab w:val="left" w:pos="1134"/>
        </w:tabs>
        <w:spacing w:before="240" w:after="120" w:line="240" w:lineRule="auto"/>
        <w:ind w:left="1134" w:hanging="1134"/>
      </w:pPr>
      <w:r>
        <w:rPr>
          <w:b/>
          <w:bCs/>
          <w:color w:val="000000"/>
        </w:rPr>
        <w:t>Tabla 1:</w:t>
      </w:r>
      <w:r>
        <w:tab/>
      </w:r>
      <w:r>
        <w:rPr>
          <w:color w:val="000000"/>
        </w:rPr>
        <w:t>Comparación de los sistemas de gestión de inventarios analizados.</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1550"/>
        <w:gridCol w:w="2400"/>
        <w:gridCol w:w="2400"/>
        <w:gridCol w:w="2400"/>
      </w:tblGrid>
      <w:tr w:rsidR="001522EB" w14:paraId="5DBF7FA0" w14:textId="77777777">
        <w:trPr>
          <w:cantSplit/>
          <w:tblHeader/>
          <w:jc w:val="center"/>
        </w:trPr>
        <w:tc>
          <w:tcPr>
            <w:tcW w:w="1550" w:type="dxa"/>
            <w:shd w:val="clear" w:color="auto" w:fill="D9D9D9"/>
            <w:vAlign w:val="center"/>
          </w:tcPr>
          <w:p w14:paraId="32F30FF0" w14:textId="77777777" w:rsidR="001522EB" w:rsidRDefault="0013026C">
            <w:pPr>
              <w:jc w:val="center"/>
            </w:pPr>
            <w:r>
              <w:rPr>
                <w:b/>
                <w:bCs/>
                <w:color w:val="000000"/>
                <w:sz w:val="17"/>
                <w:szCs w:val="17"/>
              </w:rPr>
              <w:t>Criterio</w:t>
            </w:r>
          </w:p>
        </w:tc>
        <w:tc>
          <w:tcPr>
            <w:tcW w:w="2400" w:type="dxa"/>
            <w:shd w:val="clear" w:color="auto" w:fill="D9D9D9"/>
            <w:vAlign w:val="center"/>
          </w:tcPr>
          <w:p w14:paraId="31B74108" w14:textId="77777777" w:rsidR="001522EB" w:rsidRDefault="0013026C">
            <w:pPr>
              <w:jc w:val="center"/>
            </w:pPr>
            <w:r>
              <w:rPr>
                <w:b/>
                <w:bCs/>
                <w:color w:val="000000"/>
                <w:sz w:val="17"/>
                <w:szCs w:val="17"/>
              </w:rPr>
              <w:t>Odoo Inventory</w:t>
            </w:r>
          </w:p>
        </w:tc>
        <w:tc>
          <w:tcPr>
            <w:tcW w:w="2400" w:type="dxa"/>
            <w:shd w:val="clear" w:color="auto" w:fill="D9D9D9"/>
            <w:vAlign w:val="center"/>
          </w:tcPr>
          <w:p w14:paraId="5E469763" w14:textId="77777777" w:rsidR="001522EB" w:rsidRDefault="0013026C">
            <w:pPr>
              <w:jc w:val="center"/>
            </w:pPr>
            <w:r>
              <w:rPr>
                <w:b/>
                <w:bCs/>
                <w:color w:val="000000"/>
                <w:sz w:val="17"/>
                <w:szCs w:val="17"/>
              </w:rPr>
              <w:t>ERPNext (Stock)</w:t>
            </w:r>
          </w:p>
        </w:tc>
        <w:tc>
          <w:tcPr>
            <w:tcW w:w="2400" w:type="dxa"/>
            <w:shd w:val="clear" w:color="auto" w:fill="D9D9D9"/>
            <w:vAlign w:val="center"/>
          </w:tcPr>
          <w:p w14:paraId="552A95BE" w14:textId="77777777" w:rsidR="001522EB" w:rsidRDefault="0013026C">
            <w:pPr>
              <w:jc w:val="center"/>
            </w:pPr>
            <w:r>
              <w:rPr>
                <w:b/>
                <w:bCs/>
                <w:color w:val="000000"/>
                <w:sz w:val="17"/>
                <w:szCs w:val="17"/>
              </w:rPr>
              <w:t>Zoho Inventory</w:t>
            </w:r>
          </w:p>
        </w:tc>
      </w:tr>
      <w:tr w:rsidR="001522EB" w14:paraId="049D8CEB" w14:textId="77777777">
        <w:trPr>
          <w:cantSplit/>
          <w:jc w:val="center"/>
        </w:trPr>
        <w:tc>
          <w:tcPr>
            <w:tcW w:w="1550" w:type="dxa"/>
          </w:tcPr>
          <w:p w14:paraId="169002A8" w14:textId="77777777" w:rsidR="001522EB" w:rsidRDefault="0013026C">
            <w:r>
              <w:rPr>
                <w:b/>
                <w:bCs/>
                <w:color w:val="000000"/>
                <w:sz w:val="17"/>
                <w:szCs w:val="17"/>
              </w:rPr>
              <w:t>Modelo y licencia</w:t>
            </w:r>
          </w:p>
        </w:tc>
        <w:tc>
          <w:tcPr>
            <w:tcW w:w="2400" w:type="dxa"/>
          </w:tcPr>
          <w:p w14:paraId="2DC29F3B" w14:textId="77777777" w:rsidR="001522EB" w:rsidRDefault="0013026C">
            <w:r>
              <w:rPr>
                <w:color w:val="000000"/>
                <w:sz w:val="17"/>
                <w:szCs w:val="17"/>
              </w:rPr>
              <w:t>Código abierto (Community) y edición Enterprise propietaria (Odoo S.A., s. f.</w:t>
            </w:r>
            <w:r>
              <w:rPr>
                <w:color w:val="000000"/>
                <w:sz w:val="17"/>
                <w:szCs w:val="17"/>
              </w:rPr>
              <w:noBreakHyphen/>
              <w:t>b).</w:t>
            </w:r>
          </w:p>
        </w:tc>
        <w:tc>
          <w:tcPr>
            <w:tcW w:w="2400" w:type="dxa"/>
          </w:tcPr>
          <w:p w14:paraId="1E6356C1" w14:textId="77777777" w:rsidR="001522EB" w:rsidRDefault="0013026C">
            <w:r>
              <w:rPr>
                <w:color w:val="000000"/>
                <w:sz w:val="17"/>
                <w:szCs w:val="17"/>
              </w:rPr>
              <w:t>Código abierto: ERPNext sobre Frappe Framework (Frappe Technologies, s. f.</w:t>
            </w:r>
            <w:r>
              <w:rPr>
                <w:color w:val="000000"/>
                <w:sz w:val="17"/>
                <w:szCs w:val="17"/>
              </w:rPr>
              <w:noBreakHyphen/>
              <w:t>c, s. f.</w:t>
            </w:r>
            <w:r>
              <w:rPr>
                <w:color w:val="000000"/>
                <w:sz w:val="17"/>
                <w:szCs w:val="17"/>
              </w:rPr>
              <w:noBreakHyphen/>
              <w:t>d).</w:t>
            </w:r>
          </w:p>
        </w:tc>
        <w:tc>
          <w:tcPr>
            <w:tcW w:w="2400" w:type="dxa"/>
          </w:tcPr>
          <w:p w14:paraId="6403E60E" w14:textId="77777777" w:rsidR="001522EB" w:rsidRDefault="0013026C">
            <w:r>
              <w:rPr>
                <w:color w:val="000000"/>
                <w:sz w:val="17"/>
                <w:szCs w:val="17"/>
              </w:rPr>
              <w:t>SaaS comercial de código cerrado.</w:t>
            </w:r>
          </w:p>
        </w:tc>
      </w:tr>
      <w:tr w:rsidR="001522EB" w14:paraId="5BDA2D72" w14:textId="77777777">
        <w:trPr>
          <w:cantSplit/>
          <w:jc w:val="center"/>
        </w:trPr>
        <w:tc>
          <w:tcPr>
            <w:tcW w:w="1550" w:type="dxa"/>
          </w:tcPr>
          <w:p w14:paraId="2B33C114" w14:textId="77777777" w:rsidR="001522EB" w:rsidRDefault="0013026C">
            <w:r>
              <w:rPr>
                <w:b/>
                <w:bCs/>
                <w:color w:val="000000"/>
                <w:sz w:val="17"/>
                <w:szCs w:val="17"/>
              </w:rPr>
              <w:t>Funcionalidades principales</w:t>
            </w:r>
          </w:p>
        </w:tc>
        <w:tc>
          <w:tcPr>
            <w:tcW w:w="2400" w:type="dxa"/>
          </w:tcPr>
          <w:p w14:paraId="7B82EE75" w14:textId="77777777" w:rsidR="001522EB" w:rsidRDefault="0013026C">
            <w:r>
              <w:rPr>
                <w:color w:val="000000"/>
                <w:sz w:val="17"/>
                <w:szCs w:val="17"/>
              </w:rPr>
              <w:t>Multibodega y traslados; recepciones, picking y ajustes con código de barras; portal de devoluciones; reglas de reabastecimiento (Odoo S.A., s. f.</w:t>
            </w:r>
            <w:r>
              <w:rPr>
                <w:color w:val="000000"/>
                <w:sz w:val="17"/>
                <w:szCs w:val="17"/>
              </w:rPr>
              <w:noBreakHyphen/>
              <w:t>c, s. f.</w:t>
            </w:r>
            <w:r>
              <w:rPr>
                <w:color w:val="000000"/>
                <w:sz w:val="17"/>
                <w:szCs w:val="17"/>
              </w:rPr>
              <w:noBreakHyphen/>
              <w:t>d).</w:t>
            </w:r>
          </w:p>
        </w:tc>
        <w:tc>
          <w:tcPr>
            <w:tcW w:w="2400" w:type="dxa"/>
          </w:tcPr>
          <w:p w14:paraId="690308AB" w14:textId="77777777" w:rsidR="001522EB" w:rsidRDefault="0013026C">
            <w:r>
              <w:rPr>
                <w:color w:val="000000"/>
                <w:sz w:val="17"/>
                <w:szCs w:val="17"/>
              </w:rPr>
              <w:t>Stock Entry (recibo, emisión, traslado); Stock Ledger con cantidad, valor y bodega; reorden por bodega (Frappe Technologies, s. f.</w:t>
            </w:r>
            <w:r>
              <w:rPr>
                <w:color w:val="000000"/>
                <w:sz w:val="17"/>
                <w:szCs w:val="17"/>
              </w:rPr>
              <w:noBreakHyphen/>
              <w:t>a, s. f.</w:t>
            </w:r>
            <w:r>
              <w:rPr>
                <w:color w:val="000000"/>
                <w:sz w:val="17"/>
                <w:szCs w:val="17"/>
              </w:rPr>
              <w:noBreakHyphen/>
              <w:t>g, s. f.</w:t>
            </w:r>
            <w:r>
              <w:rPr>
                <w:color w:val="000000"/>
                <w:sz w:val="17"/>
                <w:szCs w:val="17"/>
              </w:rPr>
              <w:noBreakHyphen/>
              <w:t>h).</w:t>
            </w:r>
          </w:p>
        </w:tc>
        <w:tc>
          <w:tcPr>
            <w:tcW w:w="2400" w:type="dxa"/>
          </w:tcPr>
          <w:p w14:paraId="3470863A" w14:textId="77777777" w:rsidR="001522EB" w:rsidRDefault="0013026C">
            <w:r>
              <w:rPr>
                <w:color w:val="000000"/>
                <w:sz w:val="17"/>
                <w:szCs w:val="17"/>
              </w:rPr>
              <w:t>Ítems, kits, series y lotes, listas de precios, costeo FIFO, multibodega, órdenes de compra y venta, integraciones (Zoho Corporation, s. f.</w:t>
            </w:r>
            <w:r>
              <w:rPr>
                <w:color w:val="000000"/>
                <w:sz w:val="17"/>
                <w:szCs w:val="17"/>
              </w:rPr>
              <w:noBreakHyphen/>
              <w:t>a, s. f.</w:t>
            </w:r>
            <w:r>
              <w:rPr>
                <w:color w:val="000000"/>
                <w:sz w:val="17"/>
                <w:szCs w:val="17"/>
              </w:rPr>
              <w:noBreakHyphen/>
              <w:t>b, s. f.</w:t>
            </w:r>
            <w:r>
              <w:rPr>
                <w:color w:val="000000"/>
                <w:sz w:val="17"/>
                <w:szCs w:val="17"/>
              </w:rPr>
              <w:noBreakHyphen/>
              <w:t>c).</w:t>
            </w:r>
          </w:p>
        </w:tc>
      </w:tr>
      <w:tr w:rsidR="001522EB" w14:paraId="3A6DC42D" w14:textId="77777777">
        <w:trPr>
          <w:cantSplit/>
          <w:jc w:val="center"/>
        </w:trPr>
        <w:tc>
          <w:tcPr>
            <w:tcW w:w="1550" w:type="dxa"/>
          </w:tcPr>
          <w:p w14:paraId="5C0E481A" w14:textId="77777777" w:rsidR="001522EB" w:rsidRDefault="0013026C">
            <w:r>
              <w:rPr>
                <w:b/>
                <w:bCs/>
                <w:color w:val="000000"/>
                <w:sz w:val="17"/>
                <w:szCs w:val="17"/>
              </w:rPr>
              <w:t>Arquitectura</w:t>
            </w:r>
          </w:p>
        </w:tc>
        <w:tc>
          <w:tcPr>
            <w:tcW w:w="2400" w:type="dxa"/>
          </w:tcPr>
          <w:p w14:paraId="2AF0F78C" w14:textId="77777777" w:rsidR="001522EB" w:rsidRDefault="0013026C">
            <w:r>
              <w:rPr>
                <w:color w:val="000000"/>
                <w:sz w:val="17"/>
                <w:szCs w:val="17"/>
              </w:rPr>
              <w:t>Multicapa: presentación web, lógica en Python y una única base de datos PostgreSQL, organizada en módulos (Odoo S.A., s. f.</w:t>
            </w:r>
            <w:r>
              <w:rPr>
                <w:color w:val="000000"/>
                <w:sz w:val="17"/>
                <w:szCs w:val="17"/>
              </w:rPr>
              <w:noBreakHyphen/>
              <w:t>a).</w:t>
            </w:r>
          </w:p>
        </w:tc>
        <w:tc>
          <w:tcPr>
            <w:tcW w:w="2400" w:type="dxa"/>
          </w:tcPr>
          <w:p w14:paraId="79557120" w14:textId="77777777" w:rsidR="001522EB" w:rsidRDefault="0013026C">
            <w:r>
              <w:rPr>
                <w:color w:val="000000"/>
                <w:sz w:val="17"/>
                <w:szCs w:val="17"/>
              </w:rPr>
              <w:t>Monolito sobre Frappe Framework, en Python y JavaScript (Frappe Technologies, s. f.</w:t>
            </w:r>
            <w:r>
              <w:rPr>
                <w:color w:val="000000"/>
                <w:sz w:val="17"/>
                <w:szCs w:val="17"/>
              </w:rPr>
              <w:noBreakHyphen/>
              <w:t>b, s. f.</w:t>
            </w:r>
            <w:r>
              <w:rPr>
                <w:color w:val="000000"/>
                <w:sz w:val="17"/>
                <w:szCs w:val="17"/>
              </w:rPr>
              <w:noBreakHyphen/>
              <w:t>e).</w:t>
            </w:r>
          </w:p>
        </w:tc>
        <w:tc>
          <w:tcPr>
            <w:tcW w:w="2400" w:type="dxa"/>
          </w:tcPr>
          <w:p w14:paraId="5DE1CC76" w14:textId="77777777" w:rsidR="001522EB" w:rsidRDefault="0013026C">
            <w:r>
              <w:rPr>
                <w:color w:val="000000"/>
                <w:sz w:val="17"/>
                <w:szCs w:val="17"/>
              </w:rPr>
              <w:t>No identificable: servicio en la nube propietario, integrable por API REST (Zoho Corporation, s. f.</w:t>
            </w:r>
            <w:r>
              <w:rPr>
                <w:color w:val="000000"/>
                <w:sz w:val="17"/>
                <w:szCs w:val="17"/>
              </w:rPr>
              <w:noBreakHyphen/>
              <w:t>b).</w:t>
            </w:r>
          </w:p>
        </w:tc>
      </w:tr>
      <w:tr w:rsidR="001522EB" w14:paraId="299E2EEA" w14:textId="77777777">
        <w:trPr>
          <w:cantSplit/>
          <w:jc w:val="center"/>
        </w:trPr>
        <w:tc>
          <w:tcPr>
            <w:tcW w:w="1550" w:type="dxa"/>
          </w:tcPr>
          <w:p w14:paraId="200BCF1C" w14:textId="77777777" w:rsidR="001522EB" w:rsidRDefault="0013026C">
            <w:r>
              <w:rPr>
                <w:b/>
                <w:bCs/>
                <w:color w:val="000000"/>
                <w:sz w:val="17"/>
                <w:szCs w:val="17"/>
              </w:rPr>
              <w:t>Experiencia de usuario</w:t>
            </w:r>
          </w:p>
        </w:tc>
        <w:tc>
          <w:tcPr>
            <w:tcW w:w="2400" w:type="dxa"/>
          </w:tcPr>
          <w:p w14:paraId="00153A12" w14:textId="77777777" w:rsidR="001522EB" w:rsidRDefault="0013026C">
            <w:r>
              <w:rPr>
                <w:color w:val="000000"/>
                <w:sz w:val="17"/>
                <w:szCs w:val="17"/>
              </w:rPr>
              <w:t>Interfaz web y operación de bodega con lector de código de barras; portal de devoluciones para clientes.</w:t>
            </w:r>
          </w:p>
        </w:tc>
        <w:tc>
          <w:tcPr>
            <w:tcW w:w="2400" w:type="dxa"/>
          </w:tcPr>
          <w:p w14:paraId="4961704C" w14:textId="77777777" w:rsidR="001522EB" w:rsidRDefault="0013026C">
            <w:r>
              <w:rPr>
                <w:color w:val="000000"/>
                <w:sz w:val="17"/>
                <w:szCs w:val="17"/>
              </w:rPr>
              <w:t>Interfaz web basada en formularios y reportes; curva de aprendizaje considerable.</w:t>
            </w:r>
          </w:p>
        </w:tc>
        <w:tc>
          <w:tcPr>
            <w:tcW w:w="2400" w:type="dxa"/>
          </w:tcPr>
          <w:p w14:paraId="3A1DF073" w14:textId="77777777" w:rsidR="001522EB" w:rsidRDefault="0013026C">
            <w:r>
              <w:rPr>
                <w:color w:val="000000"/>
                <w:sz w:val="17"/>
                <w:szCs w:val="17"/>
              </w:rPr>
              <w:t>Interfaz web y aplicaciones móviles con panel interactivo; adopción rápida.</w:t>
            </w:r>
          </w:p>
        </w:tc>
      </w:tr>
      <w:tr w:rsidR="001522EB" w14:paraId="5E5D3FA0" w14:textId="77777777">
        <w:trPr>
          <w:cantSplit/>
          <w:jc w:val="center"/>
        </w:trPr>
        <w:tc>
          <w:tcPr>
            <w:tcW w:w="1550" w:type="dxa"/>
          </w:tcPr>
          <w:p w14:paraId="347A9742" w14:textId="77777777" w:rsidR="001522EB" w:rsidRDefault="0013026C">
            <w:r>
              <w:rPr>
                <w:b/>
                <w:bCs/>
                <w:color w:val="000000"/>
                <w:sz w:val="17"/>
                <w:szCs w:val="17"/>
              </w:rPr>
              <w:t>Fortalezas</w:t>
            </w:r>
          </w:p>
        </w:tc>
        <w:tc>
          <w:tcPr>
            <w:tcW w:w="2400" w:type="dxa"/>
          </w:tcPr>
          <w:p w14:paraId="5E09870E" w14:textId="77777777" w:rsidR="001522EB" w:rsidRDefault="0013026C">
            <w:r>
              <w:rPr>
                <w:color w:val="000000"/>
                <w:sz w:val="17"/>
                <w:szCs w:val="17"/>
              </w:rPr>
              <w:t>Cobertura integral (inventario, compras y manufactura); reposición automática; diseño modular.</w:t>
            </w:r>
          </w:p>
        </w:tc>
        <w:tc>
          <w:tcPr>
            <w:tcW w:w="2400" w:type="dxa"/>
          </w:tcPr>
          <w:p w14:paraId="2E8F1A40" w14:textId="77777777" w:rsidR="001522EB" w:rsidRDefault="0013026C">
            <w:r>
              <w:rPr>
                <w:color w:val="000000"/>
                <w:sz w:val="17"/>
                <w:szCs w:val="17"/>
              </w:rPr>
              <w:t>Gratuito; ledger de stock detallado; reorden por bodega; extensible con aplicaciones propias.</w:t>
            </w:r>
          </w:p>
        </w:tc>
        <w:tc>
          <w:tcPr>
            <w:tcW w:w="2400" w:type="dxa"/>
          </w:tcPr>
          <w:p w14:paraId="42EECDE2" w14:textId="77777777" w:rsidR="001522EB" w:rsidRDefault="0013026C">
            <w:r>
              <w:rPr>
                <w:color w:val="000000"/>
                <w:sz w:val="17"/>
                <w:szCs w:val="17"/>
              </w:rPr>
              <w:t>Sin infraestructura propia; integraciones con comercio electrónico, envíos y pagos.</w:t>
            </w:r>
          </w:p>
        </w:tc>
      </w:tr>
      <w:tr w:rsidR="001522EB" w14:paraId="0CAC79C9" w14:textId="77777777">
        <w:trPr>
          <w:cantSplit/>
          <w:jc w:val="center"/>
        </w:trPr>
        <w:tc>
          <w:tcPr>
            <w:tcW w:w="1550" w:type="dxa"/>
          </w:tcPr>
          <w:p w14:paraId="3A5EC5E0" w14:textId="77777777" w:rsidR="001522EB" w:rsidRDefault="0013026C">
            <w:r>
              <w:rPr>
                <w:b/>
                <w:bCs/>
                <w:color w:val="000000"/>
                <w:sz w:val="17"/>
                <w:szCs w:val="17"/>
              </w:rPr>
              <w:t>Debilidades</w:t>
            </w:r>
          </w:p>
        </w:tc>
        <w:tc>
          <w:tcPr>
            <w:tcW w:w="2400" w:type="dxa"/>
          </w:tcPr>
          <w:p w14:paraId="60D9F9AA" w14:textId="77777777" w:rsidR="001522EB" w:rsidRDefault="0013026C">
            <w:r>
              <w:rPr>
                <w:color w:val="000000"/>
                <w:sz w:val="17"/>
                <w:szCs w:val="17"/>
              </w:rPr>
              <w:t>Configuración previa de varios parámetros para automatizar la reposición; escalar implica replicar toda la aplicación.</w:t>
            </w:r>
          </w:p>
        </w:tc>
        <w:tc>
          <w:tcPr>
            <w:tcW w:w="2400" w:type="dxa"/>
          </w:tcPr>
          <w:p w14:paraId="254BE00D" w14:textId="77777777" w:rsidR="001522EB" w:rsidRDefault="0013026C">
            <w:r>
              <w:rPr>
                <w:color w:val="000000"/>
                <w:sz w:val="17"/>
                <w:szCs w:val="17"/>
              </w:rPr>
              <w:t>Monolito extenso; el reorden se ejecuta a una hora programada, no al registrar el movimiento.</w:t>
            </w:r>
          </w:p>
        </w:tc>
        <w:tc>
          <w:tcPr>
            <w:tcW w:w="2400" w:type="dxa"/>
          </w:tcPr>
          <w:p w14:paraId="6ADF1EC6" w14:textId="77777777" w:rsidR="001522EB" w:rsidRDefault="0013026C">
            <w:r>
              <w:rPr>
                <w:color w:val="000000"/>
                <w:sz w:val="17"/>
                <w:szCs w:val="17"/>
              </w:rPr>
              <w:t>Código cerrado y personalización limitada; incluye ventas, facturación y envíos.</w:t>
            </w:r>
          </w:p>
        </w:tc>
      </w:tr>
      <w:tr w:rsidR="001522EB" w14:paraId="6CFAF4A0" w14:textId="77777777">
        <w:trPr>
          <w:cantSplit/>
          <w:jc w:val="center"/>
        </w:trPr>
        <w:tc>
          <w:tcPr>
            <w:tcW w:w="1550" w:type="dxa"/>
          </w:tcPr>
          <w:p w14:paraId="4FC8BE34" w14:textId="77777777" w:rsidR="001522EB" w:rsidRDefault="0013026C">
            <w:pPr>
              <w:keepNext/>
            </w:pPr>
            <w:r>
              <w:rPr>
                <w:b/>
                <w:bCs/>
                <w:color w:val="000000"/>
                <w:sz w:val="17"/>
                <w:szCs w:val="17"/>
              </w:rPr>
              <w:t>Aporte al proyecto</w:t>
            </w:r>
          </w:p>
        </w:tc>
        <w:tc>
          <w:tcPr>
            <w:tcW w:w="2400" w:type="dxa"/>
          </w:tcPr>
          <w:p w14:paraId="6335B4D8" w14:textId="77777777" w:rsidR="001522EB" w:rsidRDefault="0013026C">
            <w:pPr>
              <w:keepNext/>
            </w:pPr>
            <w:r>
              <w:rPr>
                <w:color w:val="000000"/>
                <w:sz w:val="17"/>
                <w:szCs w:val="17"/>
              </w:rPr>
              <w:t>Stock mínimo conectado con compras (RF06, RF09).</w:t>
            </w:r>
          </w:p>
        </w:tc>
        <w:tc>
          <w:tcPr>
            <w:tcW w:w="2400" w:type="dxa"/>
          </w:tcPr>
          <w:p w14:paraId="1E67A826" w14:textId="77777777" w:rsidR="001522EB" w:rsidRDefault="0013026C">
            <w:pPr>
              <w:keepNext/>
            </w:pPr>
            <w:r>
              <w:rPr>
                <w:color w:val="000000"/>
                <w:sz w:val="17"/>
                <w:szCs w:val="17"/>
              </w:rPr>
              <w:t>Ledger auditable por bodega (RF04, RF05, RF10).</w:t>
            </w:r>
          </w:p>
        </w:tc>
        <w:tc>
          <w:tcPr>
            <w:tcW w:w="2400" w:type="dxa"/>
          </w:tcPr>
          <w:p w14:paraId="09AA7FF1" w14:textId="77777777" w:rsidR="001522EB" w:rsidRDefault="0013026C">
            <w:pPr>
              <w:keepNext/>
            </w:pPr>
            <w:r>
              <w:rPr>
                <w:color w:val="000000"/>
                <w:sz w:val="17"/>
                <w:szCs w:val="17"/>
              </w:rPr>
              <w:t>Indicadores en un panel (RF14) y delimitación de lo que se excluye.</w:t>
            </w:r>
          </w:p>
        </w:tc>
      </w:tr>
    </w:tbl>
    <w:p w14:paraId="7287812D" w14:textId="77777777" w:rsidR="001522EB" w:rsidRDefault="0013026C">
      <w:pPr>
        <w:spacing w:before="60" w:after="240" w:line="240" w:lineRule="auto"/>
      </w:pPr>
      <w:r>
        <w:rPr>
          <w:color w:val="000000"/>
          <w:sz w:val="18"/>
          <w:szCs w:val="18"/>
        </w:rPr>
        <w:t>Fuente: elaboración propia a partir de la documentación oficial citada en las secciones 1.1 a 1.3.</w:t>
      </w:r>
    </w:p>
    <w:p w14:paraId="5373A0A5" w14:textId="77777777" w:rsidR="001522EB" w:rsidRDefault="0013026C">
      <w:pPr>
        <w:pStyle w:val="Ttulo2"/>
        <w:numPr>
          <w:ilvl w:val="1"/>
          <w:numId w:val="3"/>
        </w:numPr>
      </w:pPr>
      <w:bookmarkStart w:id="7" w:name="_Toc243333064"/>
      <w:r>
        <w:t>Análisis comparativo y aportes al alcance</w:t>
      </w:r>
      <w:bookmarkEnd w:id="7"/>
    </w:p>
    <w:p w14:paraId="15E6B92E" w14:textId="77777777" w:rsidR="001522EB" w:rsidRDefault="0013026C">
      <w:pPr>
        <w:spacing w:after="240" w:line="360" w:lineRule="auto"/>
        <w:jc w:val="both"/>
      </w:pPr>
      <w:r>
        <w:rPr>
          <w:color w:val="000000"/>
        </w:rPr>
        <w:t>Los tres sistemas coinciden en cuatro elementos. Primero, el saldo se mantiene por bodega y se actualiza mediante movimientos tipificados (recepción, salida, traslado o ajuste). Segundo, existe un historial auditable de movimientos (ledger o reportes de transacciones). Tercero, el stock mínimo se define por ítem, y en ERPNext también por bodega. Cuarto, esa alerta se conecta con el proceso de compras. Las diferencias están en la profundidad de la valoración, en la extensibilidad (API frente a módulos propio</w:t>
      </w:r>
      <w:r>
        <w:rPr>
          <w:color w:val="000000"/>
        </w:rPr>
        <w:t>s) y en el grado de integración con ventas, contabilidad y producción.</w:t>
      </w:r>
    </w:p>
    <w:p w14:paraId="4F5AC804" w14:textId="77777777" w:rsidR="001522EB" w:rsidRDefault="0013026C">
      <w:pPr>
        <w:spacing w:after="240" w:line="360" w:lineRule="auto"/>
        <w:jc w:val="both"/>
      </w:pPr>
      <w:r>
        <w:rPr>
          <w:color w:val="000000"/>
        </w:rPr>
        <w:t>Esos elementos comunes se traducen en requerimientos del sistema: saldo por bodega actualizado con movimientos tipificados (RF04 y RF05), kardex auditable (RF10), stock mínimo por producto con alerta (RF01 y RF09) y relación con las órdenes de compra (RF06). Además, el análisis deja tres oportunidades de mejora que orientan el alcance:</w:t>
      </w:r>
    </w:p>
    <w:p w14:paraId="68B82508" w14:textId="77777777" w:rsidR="001522EB" w:rsidRDefault="0013026C">
      <w:pPr>
        <w:numPr>
          <w:ilvl w:val="0"/>
          <w:numId w:val="2"/>
        </w:numPr>
        <w:spacing w:after="120" w:line="360" w:lineRule="auto"/>
        <w:jc w:val="both"/>
      </w:pPr>
      <w:r>
        <w:rPr>
          <w:b/>
          <w:bCs/>
          <w:color w:val="000000"/>
        </w:rPr>
        <w:t>Detección inmediata del stock bajo.</w:t>
      </w:r>
      <w:r>
        <w:rPr>
          <w:color w:val="000000"/>
        </w:rPr>
        <w:t xml:space="preserve"> En ERPNext la solicitud por nivel de reorden depende de una tarea programada; en el sistema propio la alerta se genera con el movimiento que deja el saldo en el mínimo o por debajo (RF09).</w:t>
      </w:r>
    </w:p>
    <w:p w14:paraId="7B718D1A" w14:textId="77777777" w:rsidR="001522EB" w:rsidRDefault="0013026C">
      <w:pPr>
        <w:numPr>
          <w:ilvl w:val="0"/>
          <w:numId w:val="2"/>
        </w:numPr>
        <w:spacing w:after="120" w:line="360" w:lineRule="auto"/>
        <w:jc w:val="both"/>
      </w:pPr>
      <w:r>
        <w:rPr>
          <w:b/>
          <w:bCs/>
          <w:color w:val="000000"/>
        </w:rPr>
        <w:t>Alcance enfocado en inventario.</w:t>
      </w:r>
      <w:r>
        <w:rPr>
          <w:color w:val="000000"/>
        </w:rPr>
        <w:t xml:space="preserve"> Los tres sistemas integran ventas, contabilidad o producción. El supermercado ya factura en su POS, así que el sistema se limita a inventario, compras y devoluciones (sección 2.4).</w:t>
      </w:r>
    </w:p>
    <w:p w14:paraId="4E3F1F8C" w14:textId="77777777" w:rsidR="001522EB" w:rsidRDefault="0013026C">
      <w:pPr>
        <w:numPr>
          <w:ilvl w:val="0"/>
          <w:numId w:val="2"/>
        </w:numPr>
        <w:spacing w:after="240" w:line="360" w:lineRule="auto"/>
        <w:jc w:val="both"/>
      </w:pPr>
      <w:r>
        <w:rPr>
          <w:b/>
          <w:bCs/>
          <w:color w:val="000000"/>
        </w:rPr>
        <w:t>Escalado selectivo.</w:t>
      </w:r>
      <w:r>
        <w:rPr>
          <w:color w:val="000000"/>
        </w:rPr>
        <w:t xml:space="preserve"> Odoo y ERPNext escalan replicando la aplicación completa; separar el control de stock en un servicio propio permite escalar solo esa parte (RNF05, capítulo 4).</w:t>
      </w:r>
    </w:p>
    <w:p w14:paraId="66AA167F" w14:textId="77777777" w:rsidR="001522EB" w:rsidRDefault="0013026C">
      <w:pPr>
        <w:pStyle w:val="Ttulo1"/>
        <w:pageBreakBefore/>
        <w:numPr>
          <w:ilvl w:val="0"/>
          <w:numId w:val="3"/>
        </w:numPr>
      </w:pPr>
      <w:bookmarkStart w:id="8" w:name="_Toc243333065"/>
      <w:r>
        <w:t>Definición del problema y alcance</w:t>
      </w:r>
      <w:bookmarkEnd w:id="8"/>
    </w:p>
    <w:p w14:paraId="262E01C5" w14:textId="77777777" w:rsidR="001522EB" w:rsidRDefault="0013026C">
      <w:pPr>
        <w:pStyle w:val="Ttulo2"/>
        <w:numPr>
          <w:ilvl w:val="1"/>
          <w:numId w:val="3"/>
        </w:numPr>
      </w:pPr>
      <w:bookmarkStart w:id="9" w:name="_Toc243333066"/>
      <w:r>
        <w:t>Caracterización de la empresa</w:t>
      </w:r>
      <w:bookmarkEnd w:id="9"/>
    </w:p>
    <w:p w14:paraId="4E06B12A" w14:textId="77777777" w:rsidR="001522EB" w:rsidRDefault="0013026C">
      <w:pPr>
        <w:spacing w:after="240" w:line="360" w:lineRule="auto"/>
        <w:jc w:val="both"/>
      </w:pPr>
      <w:r>
        <w:rPr>
          <w:color w:val="000000"/>
        </w:rPr>
        <w:t xml:space="preserve">El sistema se dirige a un </w:t>
      </w:r>
      <w:r>
        <w:rPr>
          <w:b/>
          <w:bCs/>
          <w:color w:val="000000"/>
        </w:rPr>
        <w:t>supermercado mediano</w:t>
      </w:r>
      <w:r>
        <w:rPr>
          <w:color w:val="000000"/>
        </w:rPr>
        <w:t xml:space="preserve"> que vende productos de consumo masivo: abarrotes, lácteos, carnes, frutas y verduras, bebidas, aseo y cuidado personal. Maneja varios miles de referencias y recibe mercancía de numerosos proveedores (distribuidores, fabricantes y productores locales). La mercancía se almacena en una o varias bodegas antes de pasar a la góndola. Su inventario es de alta rotación: los productos de la canasta básica se reponen a diario o varias veces por semana. La operación se reparte entre administración, bodega, compras y </w:t>
      </w:r>
      <w:r>
        <w:rPr>
          <w:color w:val="000000"/>
        </w:rPr>
        <w:t>gerencia, y las ventas se registran en un sistema de punto de venta (POS) independiente.</w:t>
      </w:r>
    </w:p>
    <w:p w14:paraId="71C786D9" w14:textId="77777777" w:rsidR="001522EB" w:rsidRDefault="0013026C">
      <w:pPr>
        <w:pStyle w:val="Ttulo2"/>
        <w:numPr>
          <w:ilvl w:val="1"/>
          <w:numId w:val="3"/>
        </w:numPr>
      </w:pPr>
      <w:bookmarkStart w:id="10" w:name="_Toc243333067"/>
      <w:r>
        <w:t>Situación actual y problemas identificados</w:t>
      </w:r>
      <w:bookmarkEnd w:id="10"/>
    </w:p>
    <w:p w14:paraId="0E8D36EF" w14:textId="77777777" w:rsidR="001522EB" w:rsidRDefault="0013026C">
      <w:pPr>
        <w:spacing w:after="240" w:line="360" w:lineRule="auto"/>
        <w:jc w:val="both"/>
      </w:pPr>
      <w:r>
        <w:rPr>
          <w:color w:val="000000"/>
        </w:rPr>
        <w:t xml:space="preserve">Hoy el supermercado controla su inventario con </w:t>
      </w:r>
      <w:r>
        <w:rPr>
          <w:b/>
          <w:bCs/>
          <w:color w:val="000000"/>
        </w:rPr>
        <w:t>métodos manuales u obsoletos</w:t>
      </w:r>
      <w:r>
        <w:rPr>
          <w:color w:val="000000"/>
        </w:rPr>
        <w:t>: hojas de cálculo aisladas, formatos en papel para la recepción de mercancía y conteos físicos periódicos. Esto genera los problemas de la Tabla 2.</w:t>
      </w:r>
    </w:p>
    <w:p w14:paraId="5A812B4A" w14:textId="77777777" w:rsidR="001522EB" w:rsidRDefault="0013026C">
      <w:pPr>
        <w:keepNext/>
        <w:tabs>
          <w:tab w:val="left" w:pos="1134"/>
        </w:tabs>
        <w:spacing w:before="240" w:after="120" w:line="240" w:lineRule="auto"/>
        <w:ind w:left="1134" w:hanging="1134"/>
      </w:pPr>
      <w:r>
        <w:rPr>
          <w:b/>
          <w:bCs/>
          <w:color w:val="000000"/>
        </w:rPr>
        <w:t>Tabla 2:</w:t>
      </w:r>
      <w:r>
        <w:tab/>
      </w:r>
      <w:r>
        <w:rPr>
          <w:color w:val="000000"/>
        </w:rPr>
        <w:t>Problemas de la gestión actual del inventario.</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950"/>
        <w:gridCol w:w="3900"/>
        <w:gridCol w:w="3900"/>
      </w:tblGrid>
      <w:tr w:rsidR="001522EB" w14:paraId="3C133ED7" w14:textId="77777777">
        <w:trPr>
          <w:cantSplit/>
          <w:tblHeader/>
          <w:jc w:val="center"/>
        </w:trPr>
        <w:tc>
          <w:tcPr>
            <w:tcW w:w="950" w:type="dxa"/>
            <w:shd w:val="clear" w:color="auto" w:fill="D9D9D9"/>
            <w:vAlign w:val="center"/>
          </w:tcPr>
          <w:p w14:paraId="2866A621" w14:textId="77777777" w:rsidR="001522EB" w:rsidRDefault="0013026C">
            <w:pPr>
              <w:jc w:val="center"/>
            </w:pPr>
            <w:r>
              <w:rPr>
                <w:b/>
                <w:bCs/>
                <w:color w:val="000000"/>
                <w:sz w:val="19"/>
                <w:szCs w:val="19"/>
              </w:rPr>
              <w:t>Código</w:t>
            </w:r>
          </w:p>
        </w:tc>
        <w:tc>
          <w:tcPr>
            <w:tcW w:w="3900" w:type="dxa"/>
            <w:shd w:val="clear" w:color="auto" w:fill="D9D9D9"/>
            <w:vAlign w:val="center"/>
          </w:tcPr>
          <w:p w14:paraId="04FFF737" w14:textId="77777777" w:rsidR="001522EB" w:rsidRDefault="0013026C">
            <w:pPr>
              <w:jc w:val="center"/>
            </w:pPr>
            <w:r>
              <w:rPr>
                <w:b/>
                <w:bCs/>
                <w:color w:val="000000"/>
                <w:sz w:val="19"/>
                <w:szCs w:val="19"/>
              </w:rPr>
              <w:t>Problema</w:t>
            </w:r>
          </w:p>
        </w:tc>
        <w:tc>
          <w:tcPr>
            <w:tcW w:w="3900" w:type="dxa"/>
            <w:shd w:val="clear" w:color="auto" w:fill="D9D9D9"/>
            <w:vAlign w:val="center"/>
          </w:tcPr>
          <w:p w14:paraId="6ABBA76F" w14:textId="77777777" w:rsidR="001522EB" w:rsidRDefault="0013026C">
            <w:pPr>
              <w:jc w:val="center"/>
            </w:pPr>
            <w:r>
              <w:rPr>
                <w:b/>
                <w:bCs/>
                <w:color w:val="000000"/>
                <w:sz w:val="19"/>
                <w:szCs w:val="19"/>
              </w:rPr>
              <w:t>Consecuencia</w:t>
            </w:r>
          </w:p>
        </w:tc>
      </w:tr>
      <w:tr w:rsidR="001522EB" w14:paraId="79830696" w14:textId="77777777">
        <w:trPr>
          <w:cantSplit/>
          <w:jc w:val="center"/>
        </w:trPr>
        <w:tc>
          <w:tcPr>
            <w:tcW w:w="950" w:type="dxa"/>
          </w:tcPr>
          <w:p w14:paraId="495E9F10" w14:textId="77777777" w:rsidR="001522EB" w:rsidRDefault="0013026C">
            <w:r>
              <w:rPr>
                <w:b/>
                <w:bCs/>
                <w:color w:val="000000"/>
                <w:sz w:val="19"/>
                <w:szCs w:val="19"/>
              </w:rPr>
              <w:t>P1</w:t>
            </w:r>
          </w:p>
        </w:tc>
        <w:tc>
          <w:tcPr>
            <w:tcW w:w="3900" w:type="dxa"/>
          </w:tcPr>
          <w:p w14:paraId="4E09044D" w14:textId="77777777" w:rsidR="001522EB" w:rsidRDefault="0013026C">
            <w:r>
              <w:rPr>
                <w:color w:val="000000"/>
                <w:sz w:val="19"/>
                <w:szCs w:val="19"/>
              </w:rPr>
              <w:t>Los saldos de cada bodega se llevan en hojas de cálculo independientes, sin una única fuente de verdad.</w:t>
            </w:r>
          </w:p>
        </w:tc>
        <w:tc>
          <w:tcPr>
            <w:tcW w:w="3900" w:type="dxa"/>
          </w:tcPr>
          <w:p w14:paraId="4AF6CF7F" w14:textId="77777777" w:rsidR="001522EB" w:rsidRDefault="0013026C">
            <w:r>
              <w:rPr>
                <w:color w:val="000000"/>
                <w:sz w:val="19"/>
                <w:szCs w:val="19"/>
              </w:rPr>
              <w:t>Diferencias entre el saldo registrado y la mercancía que realmente hay en bodega.</w:t>
            </w:r>
          </w:p>
        </w:tc>
      </w:tr>
      <w:tr w:rsidR="001522EB" w14:paraId="01F451BD" w14:textId="77777777">
        <w:trPr>
          <w:cantSplit/>
          <w:jc w:val="center"/>
        </w:trPr>
        <w:tc>
          <w:tcPr>
            <w:tcW w:w="950" w:type="dxa"/>
          </w:tcPr>
          <w:p w14:paraId="32A0A553" w14:textId="77777777" w:rsidR="001522EB" w:rsidRDefault="0013026C">
            <w:r>
              <w:rPr>
                <w:b/>
                <w:bCs/>
                <w:color w:val="000000"/>
                <w:sz w:val="19"/>
                <w:szCs w:val="19"/>
              </w:rPr>
              <w:t>P2</w:t>
            </w:r>
          </w:p>
        </w:tc>
        <w:tc>
          <w:tcPr>
            <w:tcW w:w="3900" w:type="dxa"/>
          </w:tcPr>
          <w:p w14:paraId="57F32C4E" w14:textId="77777777" w:rsidR="001522EB" w:rsidRDefault="0013026C">
            <w:r>
              <w:rPr>
                <w:color w:val="000000"/>
                <w:sz w:val="19"/>
                <w:szCs w:val="19"/>
              </w:rPr>
              <w:t>No hay stock mínimo ni alertas; la reposición depende de que alguien note el faltante.</w:t>
            </w:r>
          </w:p>
        </w:tc>
        <w:tc>
          <w:tcPr>
            <w:tcW w:w="3900" w:type="dxa"/>
          </w:tcPr>
          <w:p w14:paraId="26F78D4C" w14:textId="77777777" w:rsidR="001522EB" w:rsidRDefault="0013026C">
            <w:r>
              <w:rPr>
                <w:color w:val="000000"/>
                <w:sz w:val="19"/>
                <w:szCs w:val="19"/>
              </w:rPr>
              <w:t>Góndolas vacías en productos de alta rotación (ventas perdidas) y exceso de productos que rotan poco.</w:t>
            </w:r>
          </w:p>
        </w:tc>
      </w:tr>
      <w:tr w:rsidR="001522EB" w14:paraId="38078513" w14:textId="77777777">
        <w:trPr>
          <w:cantSplit/>
          <w:jc w:val="center"/>
        </w:trPr>
        <w:tc>
          <w:tcPr>
            <w:tcW w:w="950" w:type="dxa"/>
          </w:tcPr>
          <w:p w14:paraId="14F06AD2" w14:textId="77777777" w:rsidR="001522EB" w:rsidRDefault="0013026C">
            <w:r>
              <w:rPr>
                <w:b/>
                <w:bCs/>
                <w:color w:val="000000"/>
                <w:sz w:val="19"/>
                <w:szCs w:val="19"/>
              </w:rPr>
              <w:t>P3</w:t>
            </w:r>
          </w:p>
        </w:tc>
        <w:tc>
          <w:tcPr>
            <w:tcW w:w="3900" w:type="dxa"/>
          </w:tcPr>
          <w:p w14:paraId="663EC5BE" w14:textId="77777777" w:rsidR="001522EB" w:rsidRDefault="0013026C">
            <w:r>
              <w:rPr>
                <w:color w:val="000000"/>
                <w:sz w:val="19"/>
                <w:szCs w:val="19"/>
              </w:rPr>
              <w:t>Las mermas, los daños y los ajustes no se registran con responsable ni motivo.</w:t>
            </w:r>
          </w:p>
        </w:tc>
        <w:tc>
          <w:tcPr>
            <w:tcW w:w="3900" w:type="dxa"/>
          </w:tcPr>
          <w:p w14:paraId="1134F77F" w14:textId="77777777" w:rsidR="001522EB" w:rsidRDefault="0013026C">
            <w:r>
              <w:rPr>
                <w:color w:val="000000"/>
                <w:sz w:val="19"/>
                <w:szCs w:val="19"/>
              </w:rPr>
              <w:t>No se pueden explicar ni reducir las pérdidas de inventario.</w:t>
            </w:r>
          </w:p>
        </w:tc>
      </w:tr>
      <w:tr w:rsidR="001522EB" w14:paraId="3887AE17" w14:textId="77777777">
        <w:trPr>
          <w:cantSplit/>
          <w:jc w:val="center"/>
        </w:trPr>
        <w:tc>
          <w:tcPr>
            <w:tcW w:w="950" w:type="dxa"/>
          </w:tcPr>
          <w:p w14:paraId="1388FDC0" w14:textId="77777777" w:rsidR="001522EB" w:rsidRDefault="0013026C">
            <w:r>
              <w:rPr>
                <w:b/>
                <w:bCs/>
                <w:color w:val="000000"/>
                <w:sz w:val="19"/>
                <w:szCs w:val="19"/>
              </w:rPr>
              <w:t>P4</w:t>
            </w:r>
          </w:p>
        </w:tc>
        <w:tc>
          <w:tcPr>
            <w:tcW w:w="3900" w:type="dxa"/>
          </w:tcPr>
          <w:p w14:paraId="097B6C0C" w14:textId="77777777" w:rsidR="001522EB" w:rsidRDefault="0013026C">
            <w:r>
              <w:rPr>
                <w:color w:val="000000"/>
                <w:sz w:val="19"/>
                <w:szCs w:val="19"/>
              </w:rPr>
              <w:t>Los pedidos a proveedores se hacen por teléfono o mensajería, y la recepción se anota en papel sin compararla con lo pedido.</w:t>
            </w:r>
          </w:p>
        </w:tc>
        <w:tc>
          <w:tcPr>
            <w:tcW w:w="3900" w:type="dxa"/>
          </w:tcPr>
          <w:p w14:paraId="5EECABCD" w14:textId="77777777" w:rsidR="001522EB" w:rsidRDefault="0013026C">
            <w:r>
              <w:rPr>
                <w:color w:val="000000"/>
                <w:sz w:val="19"/>
                <w:szCs w:val="19"/>
              </w:rPr>
              <w:t>Pedidos duplicados y faltantes en la recepción que no se reclaman.</w:t>
            </w:r>
          </w:p>
        </w:tc>
      </w:tr>
      <w:tr w:rsidR="001522EB" w14:paraId="146F1426" w14:textId="77777777">
        <w:trPr>
          <w:cantSplit/>
          <w:jc w:val="center"/>
        </w:trPr>
        <w:tc>
          <w:tcPr>
            <w:tcW w:w="950" w:type="dxa"/>
          </w:tcPr>
          <w:p w14:paraId="482E814C" w14:textId="77777777" w:rsidR="001522EB" w:rsidRDefault="0013026C">
            <w:r>
              <w:rPr>
                <w:b/>
                <w:bCs/>
                <w:color w:val="000000"/>
                <w:sz w:val="19"/>
                <w:szCs w:val="19"/>
              </w:rPr>
              <w:t>P5</w:t>
            </w:r>
          </w:p>
        </w:tc>
        <w:tc>
          <w:tcPr>
            <w:tcW w:w="3900" w:type="dxa"/>
          </w:tcPr>
          <w:p w14:paraId="3B230B63" w14:textId="77777777" w:rsidR="001522EB" w:rsidRDefault="0013026C">
            <w:r>
              <w:rPr>
                <w:color w:val="000000"/>
                <w:sz w:val="19"/>
                <w:szCs w:val="19"/>
              </w:rPr>
              <w:t>No se registran las devoluciones de clientes (producto defectuoso) ni a proveedores (producto no conforme o en mal estado).</w:t>
            </w:r>
          </w:p>
        </w:tc>
        <w:tc>
          <w:tcPr>
            <w:tcW w:w="3900" w:type="dxa"/>
          </w:tcPr>
          <w:p w14:paraId="4A78B972" w14:textId="77777777" w:rsidR="001522EB" w:rsidRDefault="0013026C">
            <w:r>
              <w:rPr>
                <w:color w:val="000000"/>
                <w:sz w:val="19"/>
                <w:szCs w:val="19"/>
              </w:rPr>
              <w:t>El saldo no refleja la mercancía devuelta y no hay soporte para reclamar al proveedor.</w:t>
            </w:r>
          </w:p>
        </w:tc>
      </w:tr>
      <w:tr w:rsidR="001522EB" w14:paraId="36322E6E" w14:textId="77777777">
        <w:trPr>
          <w:cantSplit/>
          <w:jc w:val="center"/>
        </w:trPr>
        <w:tc>
          <w:tcPr>
            <w:tcW w:w="950" w:type="dxa"/>
          </w:tcPr>
          <w:p w14:paraId="04649F18" w14:textId="77777777" w:rsidR="001522EB" w:rsidRDefault="0013026C">
            <w:r>
              <w:rPr>
                <w:b/>
                <w:bCs/>
                <w:color w:val="000000"/>
                <w:sz w:val="19"/>
                <w:szCs w:val="19"/>
              </w:rPr>
              <w:t>P6</w:t>
            </w:r>
          </w:p>
        </w:tc>
        <w:tc>
          <w:tcPr>
            <w:tcW w:w="3900" w:type="dxa"/>
          </w:tcPr>
          <w:p w14:paraId="2338126B" w14:textId="77777777" w:rsidR="001522EB" w:rsidRDefault="0013026C">
            <w:r>
              <w:rPr>
                <w:color w:val="000000"/>
                <w:sz w:val="19"/>
                <w:szCs w:val="19"/>
              </w:rPr>
              <w:t>Los reportes se consolidan a mano al cierre de mes.</w:t>
            </w:r>
          </w:p>
        </w:tc>
        <w:tc>
          <w:tcPr>
            <w:tcW w:w="3900" w:type="dxa"/>
          </w:tcPr>
          <w:p w14:paraId="39275D47" w14:textId="77777777" w:rsidR="001522EB" w:rsidRDefault="0013026C">
            <w:r>
              <w:rPr>
                <w:color w:val="000000"/>
                <w:sz w:val="19"/>
                <w:szCs w:val="19"/>
              </w:rPr>
              <w:t>La gerencia no conoce a tiempo el valor del inventario ni qué productos rotan.</w:t>
            </w:r>
          </w:p>
        </w:tc>
      </w:tr>
      <w:tr w:rsidR="001522EB" w14:paraId="121B6AC6" w14:textId="77777777">
        <w:trPr>
          <w:cantSplit/>
          <w:jc w:val="center"/>
        </w:trPr>
        <w:tc>
          <w:tcPr>
            <w:tcW w:w="950" w:type="dxa"/>
          </w:tcPr>
          <w:p w14:paraId="3E2C104C" w14:textId="77777777" w:rsidR="001522EB" w:rsidRDefault="0013026C">
            <w:pPr>
              <w:keepNext/>
            </w:pPr>
            <w:r>
              <w:rPr>
                <w:b/>
                <w:bCs/>
                <w:color w:val="000000"/>
                <w:sz w:val="19"/>
                <w:szCs w:val="19"/>
              </w:rPr>
              <w:t>P7</w:t>
            </w:r>
          </w:p>
        </w:tc>
        <w:tc>
          <w:tcPr>
            <w:tcW w:w="3900" w:type="dxa"/>
          </w:tcPr>
          <w:p w14:paraId="3B7A0163" w14:textId="77777777" w:rsidR="001522EB" w:rsidRDefault="0013026C">
            <w:pPr>
              <w:keepNext/>
            </w:pPr>
            <w:r>
              <w:rPr>
                <w:color w:val="000000"/>
                <w:sz w:val="19"/>
                <w:szCs w:val="19"/>
              </w:rPr>
              <w:t>Los archivos son compartidos y cualquier persona puede modificarlos.</w:t>
            </w:r>
          </w:p>
        </w:tc>
        <w:tc>
          <w:tcPr>
            <w:tcW w:w="3900" w:type="dxa"/>
          </w:tcPr>
          <w:p w14:paraId="5293FB45" w14:textId="77777777" w:rsidR="001522EB" w:rsidRDefault="0013026C">
            <w:pPr>
              <w:keepNext/>
            </w:pPr>
            <w:r>
              <w:rPr>
                <w:color w:val="000000"/>
                <w:sz w:val="19"/>
                <w:szCs w:val="19"/>
              </w:rPr>
              <w:t>Errores o manipulación de datos sin un responsable identificable.</w:t>
            </w:r>
          </w:p>
        </w:tc>
      </w:tr>
    </w:tbl>
    <w:p w14:paraId="40DBE633" w14:textId="77777777" w:rsidR="001522EB" w:rsidRDefault="0013026C">
      <w:pPr>
        <w:spacing w:before="60" w:after="240" w:line="240" w:lineRule="auto"/>
      </w:pPr>
      <w:r>
        <w:rPr>
          <w:color w:val="000000"/>
          <w:sz w:val="18"/>
          <w:szCs w:val="18"/>
        </w:rPr>
        <w:t>Fuente: elaboración propia.</w:t>
      </w:r>
    </w:p>
    <w:p w14:paraId="4F1B1C2D" w14:textId="77777777" w:rsidR="001522EB" w:rsidRDefault="0013026C">
      <w:pPr>
        <w:pStyle w:val="Ttulo2"/>
        <w:numPr>
          <w:ilvl w:val="1"/>
          <w:numId w:val="3"/>
        </w:numPr>
      </w:pPr>
      <w:bookmarkStart w:id="11" w:name="_Toc243333068"/>
      <w:r>
        <w:t>Planteamiento del problema</w:t>
      </w:r>
      <w:bookmarkEnd w:id="11"/>
    </w:p>
    <w:p w14:paraId="5E14C888" w14:textId="77777777" w:rsidR="001522EB" w:rsidRDefault="0013026C">
      <w:pPr>
        <w:spacing w:after="240" w:line="360" w:lineRule="auto"/>
        <w:jc w:val="both"/>
      </w:pPr>
      <w:r>
        <w:rPr>
          <w:color w:val="000000"/>
        </w:rPr>
        <w:t>El supermercado no cuenta con un mecanismo centralizado, confiable y trazable para controlar sus existencias. Con miles de referencias de alta rotación, esto provoca saldos inconsistentes, faltantes en góndola, pérdidas sin explicar, compras sin seguimiento y falta de información oportuna para tomar decisiones.</w:t>
      </w:r>
    </w:p>
    <w:p w14:paraId="5E5DEF9B" w14:textId="77777777" w:rsidR="001522EB" w:rsidRDefault="0013026C">
      <w:pPr>
        <w:pStyle w:val="Ttulo2"/>
        <w:numPr>
          <w:ilvl w:val="1"/>
          <w:numId w:val="3"/>
        </w:numPr>
      </w:pPr>
      <w:bookmarkStart w:id="12" w:name="_Toc243333069"/>
      <w:r>
        <w:t>Alcance de la solución</w:t>
      </w:r>
      <w:bookmarkEnd w:id="12"/>
    </w:p>
    <w:p w14:paraId="54BE0438" w14:textId="77777777" w:rsidR="001522EB" w:rsidRDefault="0013026C">
      <w:pPr>
        <w:spacing w:after="240" w:line="360" w:lineRule="auto"/>
        <w:jc w:val="both"/>
      </w:pPr>
      <w:r>
        <w:rPr>
          <w:color w:val="000000"/>
        </w:rPr>
        <w:t xml:space="preserve">Se construirá un </w:t>
      </w:r>
      <w:r>
        <w:rPr>
          <w:b/>
          <w:bCs/>
          <w:color w:val="000000"/>
        </w:rPr>
        <w:t>sistema web de gestión de inventarios para el supermercado, basado en microservicios</w:t>
      </w:r>
      <w:r>
        <w:rPr>
          <w:color w:val="000000"/>
        </w:rPr>
        <w:t>. El alcance incluye:</w:t>
      </w:r>
    </w:p>
    <w:p w14:paraId="18B4BC4D" w14:textId="77777777" w:rsidR="001522EB" w:rsidRDefault="0013026C">
      <w:pPr>
        <w:numPr>
          <w:ilvl w:val="0"/>
          <w:numId w:val="2"/>
        </w:numPr>
        <w:spacing w:after="120" w:line="360" w:lineRule="auto"/>
        <w:jc w:val="both"/>
      </w:pPr>
      <w:r>
        <w:rPr>
          <w:color w:val="000000"/>
        </w:rPr>
        <w:t>Gestión de productos, categorías, proveedores y bodegas.</w:t>
      </w:r>
    </w:p>
    <w:p w14:paraId="68A89549" w14:textId="77777777" w:rsidR="001522EB" w:rsidRDefault="0013026C">
      <w:pPr>
        <w:numPr>
          <w:ilvl w:val="0"/>
          <w:numId w:val="2"/>
        </w:numPr>
        <w:spacing w:after="120" w:line="360" w:lineRule="auto"/>
        <w:jc w:val="both"/>
      </w:pPr>
      <w:r>
        <w:rPr>
          <w:color w:val="000000"/>
        </w:rPr>
        <w:t>Control de stock por bodega mediante movimientos (entradas, salidas, ajustes por mermas o daños y traslados) y un kardex auditable.</w:t>
      </w:r>
    </w:p>
    <w:p w14:paraId="2673FE05" w14:textId="77777777" w:rsidR="001522EB" w:rsidRDefault="0013026C">
      <w:pPr>
        <w:numPr>
          <w:ilvl w:val="0"/>
          <w:numId w:val="2"/>
        </w:numPr>
        <w:spacing w:after="120" w:line="360" w:lineRule="auto"/>
        <w:jc w:val="both"/>
      </w:pPr>
      <w:r>
        <w:rPr>
          <w:color w:val="000000"/>
        </w:rPr>
        <w:t>Órdenes de compra con estados y recepción de mercancía.</w:t>
      </w:r>
    </w:p>
    <w:p w14:paraId="4AE4B9E4" w14:textId="77777777" w:rsidR="001522EB" w:rsidRDefault="0013026C">
      <w:pPr>
        <w:numPr>
          <w:ilvl w:val="0"/>
          <w:numId w:val="2"/>
        </w:numPr>
        <w:spacing w:after="120" w:line="360" w:lineRule="auto"/>
        <w:jc w:val="both"/>
      </w:pPr>
      <w:r>
        <w:rPr>
          <w:color w:val="000000"/>
        </w:rPr>
        <w:t>Devoluciones de clientes y a proveedores.</w:t>
      </w:r>
    </w:p>
    <w:p w14:paraId="43BC42E2" w14:textId="77777777" w:rsidR="001522EB" w:rsidRDefault="0013026C">
      <w:pPr>
        <w:numPr>
          <w:ilvl w:val="0"/>
          <w:numId w:val="2"/>
        </w:numPr>
        <w:spacing w:after="120" w:line="360" w:lineRule="auto"/>
        <w:jc w:val="both"/>
      </w:pPr>
      <w:r>
        <w:rPr>
          <w:color w:val="000000"/>
        </w:rPr>
        <w:t>Gestión de usuarios y roles, autenticación con tokens de acceso de Laravel Sanctum y control de acceso por roles, todo en el API Gateway.</w:t>
      </w:r>
    </w:p>
    <w:p w14:paraId="285EB6E3" w14:textId="77777777" w:rsidR="001522EB" w:rsidRDefault="0013026C">
      <w:pPr>
        <w:numPr>
          <w:ilvl w:val="0"/>
          <w:numId w:val="2"/>
        </w:numPr>
        <w:spacing w:after="120" w:line="360" w:lineRule="auto"/>
        <w:jc w:val="both"/>
      </w:pPr>
      <w:r>
        <w:rPr>
          <w:color w:val="000000"/>
        </w:rPr>
        <w:t>Alertas de stock bajo.</w:t>
      </w:r>
    </w:p>
    <w:p w14:paraId="549AF3B0" w14:textId="77777777" w:rsidR="001522EB" w:rsidRDefault="0013026C">
      <w:pPr>
        <w:numPr>
          <w:ilvl w:val="0"/>
          <w:numId w:val="2"/>
        </w:numPr>
        <w:spacing w:after="120" w:line="360" w:lineRule="auto"/>
        <w:jc w:val="both"/>
      </w:pPr>
      <w:r>
        <w:rPr>
          <w:color w:val="000000"/>
        </w:rPr>
        <w:t>Reportes de valorización y rotación, y dashboard de indicadores.</w:t>
      </w:r>
    </w:p>
    <w:p w14:paraId="57837CE1" w14:textId="77777777" w:rsidR="001522EB" w:rsidRDefault="0013026C">
      <w:pPr>
        <w:numPr>
          <w:ilvl w:val="0"/>
          <w:numId w:val="2"/>
        </w:numPr>
        <w:spacing w:after="240" w:line="360" w:lineRule="auto"/>
        <w:jc w:val="both"/>
      </w:pPr>
      <w:r>
        <w:rPr>
          <w:color w:val="000000"/>
        </w:rPr>
        <w:t>API Gateway propio desarrollado en Laravel, contenedores Docker y orquestación con Kubernetes.</w:t>
      </w:r>
    </w:p>
    <w:p w14:paraId="6A5AAAB0" w14:textId="77777777" w:rsidR="001522EB" w:rsidRDefault="0013026C">
      <w:pPr>
        <w:spacing w:after="240" w:line="360" w:lineRule="auto"/>
        <w:jc w:val="both"/>
      </w:pPr>
      <w:r>
        <w:rPr>
          <w:color w:val="000000"/>
        </w:rPr>
        <w:t xml:space="preserve">El alcance </w:t>
      </w:r>
      <w:r>
        <w:rPr>
          <w:b/>
          <w:bCs/>
          <w:color w:val="000000"/>
        </w:rPr>
        <w:t>no incluye</w:t>
      </w:r>
      <w:r>
        <w:rPr>
          <w:color w:val="000000"/>
        </w:rPr>
        <w:t>:</w:t>
      </w:r>
    </w:p>
    <w:p w14:paraId="335311CE" w14:textId="77777777" w:rsidR="001522EB" w:rsidRDefault="0013026C">
      <w:pPr>
        <w:numPr>
          <w:ilvl w:val="0"/>
          <w:numId w:val="2"/>
        </w:numPr>
        <w:spacing w:after="120" w:line="360" w:lineRule="auto"/>
        <w:jc w:val="both"/>
      </w:pPr>
      <w:r>
        <w:rPr>
          <w:color w:val="000000"/>
        </w:rPr>
        <w:t>Ventas, punto de venta ni facturación electrónica. El supermercado ya factura en su POS; este sistema solo registra las salidas de inventario con su documento de referencia.</w:t>
      </w:r>
    </w:p>
    <w:p w14:paraId="14DEECF2" w14:textId="77777777" w:rsidR="001522EB" w:rsidRDefault="0013026C">
      <w:pPr>
        <w:numPr>
          <w:ilvl w:val="0"/>
          <w:numId w:val="2"/>
        </w:numPr>
        <w:spacing w:after="120" w:line="360" w:lineRule="auto"/>
        <w:jc w:val="both"/>
      </w:pPr>
      <w:r>
        <w:rPr>
          <w:color w:val="000000"/>
        </w:rPr>
        <w:t>Contabilidad ni pagos a proveedores.</w:t>
      </w:r>
    </w:p>
    <w:p w14:paraId="4734C2FA" w14:textId="77777777" w:rsidR="001522EB" w:rsidRDefault="0013026C">
      <w:pPr>
        <w:numPr>
          <w:ilvl w:val="0"/>
          <w:numId w:val="2"/>
        </w:numPr>
        <w:spacing w:after="120" w:line="360" w:lineRule="auto"/>
        <w:jc w:val="both"/>
      </w:pPr>
      <w:r>
        <w:rPr>
          <w:color w:val="000000"/>
        </w:rPr>
        <w:t>Control de lotes ni fechas de vencimiento. Las pérdidas por vencimiento se registran como ajustes por merma (RF04).</w:t>
      </w:r>
    </w:p>
    <w:p w14:paraId="4E28BA1A" w14:textId="77777777" w:rsidR="001522EB" w:rsidRDefault="0013026C">
      <w:pPr>
        <w:numPr>
          <w:ilvl w:val="0"/>
          <w:numId w:val="2"/>
        </w:numPr>
        <w:spacing w:after="120" w:line="360" w:lineRule="auto"/>
        <w:jc w:val="both"/>
      </w:pPr>
      <w:r>
        <w:rPr>
          <w:color w:val="000000"/>
        </w:rPr>
        <w:t>Integración con lectores de código de barras, balanzas, ERP u otros sistemas externos.</w:t>
      </w:r>
    </w:p>
    <w:p w14:paraId="0B7843A7" w14:textId="77777777" w:rsidR="001522EB" w:rsidRDefault="0013026C">
      <w:pPr>
        <w:numPr>
          <w:ilvl w:val="0"/>
          <w:numId w:val="2"/>
        </w:numPr>
        <w:spacing w:after="240" w:line="360" w:lineRule="auto"/>
        <w:jc w:val="both"/>
      </w:pPr>
      <w:r>
        <w:rPr>
          <w:color w:val="000000"/>
        </w:rPr>
        <w:t xml:space="preserve">Aplicación móvil nativa; la interfaz web será </w:t>
      </w:r>
      <w:r>
        <w:rPr>
          <w:i/>
          <w:iCs/>
          <w:color w:val="000000"/>
        </w:rPr>
        <w:t>responsive</w:t>
      </w:r>
      <w:r>
        <w:rPr>
          <w:color w:val="000000"/>
        </w:rPr>
        <w:t>.</w:t>
      </w:r>
    </w:p>
    <w:p w14:paraId="1FC806BB" w14:textId="77777777" w:rsidR="001522EB" w:rsidRDefault="0013026C">
      <w:pPr>
        <w:pStyle w:val="Ttulo1"/>
        <w:pageBreakBefore/>
        <w:numPr>
          <w:ilvl w:val="0"/>
          <w:numId w:val="3"/>
        </w:numPr>
      </w:pPr>
      <w:bookmarkStart w:id="13" w:name="_Toc243333070"/>
      <w:r>
        <w:t>Requerimientos del sistema</w:t>
      </w:r>
      <w:bookmarkEnd w:id="13"/>
    </w:p>
    <w:p w14:paraId="57B6FC17" w14:textId="77777777" w:rsidR="001522EB" w:rsidRDefault="0013026C">
      <w:pPr>
        <w:spacing w:after="240" w:line="360" w:lineRule="auto"/>
        <w:jc w:val="both"/>
      </w:pPr>
      <w:r>
        <w:rPr>
          <w:color w:val="000000"/>
        </w:rPr>
        <w:t>Los requerimientos parten del alcance mínimo de la sección 8 del enunciado del proyecto y se adaptaron al supermercado. Cada uno tiene un identificador único que se usa en el resto del documento para trazar las decisiones de arquitectura (capítulo 4) y la asignación de responsabilidades a los microservicios (capítulo 5).</w:t>
      </w:r>
    </w:p>
    <w:p w14:paraId="21F1D520" w14:textId="77777777" w:rsidR="001522EB" w:rsidRDefault="0013026C">
      <w:pPr>
        <w:pStyle w:val="Ttulo2"/>
        <w:numPr>
          <w:ilvl w:val="1"/>
          <w:numId w:val="3"/>
        </w:numPr>
      </w:pPr>
      <w:bookmarkStart w:id="14" w:name="_Toc243333071"/>
      <w:r>
        <w:t>Requerimientos funcionales</w:t>
      </w:r>
      <w:bookmarkEnd w:id="14"/>
    </w:p>
    <w:p w14:paraId="5589ED23" w14:textId="77777777" w:rsidR="001522EB" w:rsidRDefault="0013026C">
      <w:pPr>
        <w:keepNext/>
        <w:tabs>
          <w:tab w:val="left" w:pos="1134"/>
        </w:tabs>
        <w:spacing w:before="240" w:after="120" w:line="240" w:lineRule="auto"/>
        <w:ind w:left="1134" w:hanging="1134"/>
      </w:pPr>
      <w:r>
        <w:rPr>
          <w:b/>
          <w:bCs/>
          <w:color w:val="000000"/>
        </w:rPr>
        <w:t>Tabla 3:</w:t>
      </w:r>
      <w:r>
        <w:tab/>
      </w:r>
      <w:r>
        <w:rPr>
          <w:color w:val="000000"/>
        </w:rPr>
        <w:t>Requerimientos funcionales.</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900"/>
        <w:gridCol w:w="2000"/>
        <w:gridCol w:w="5850"/>
      </w:tblGrid>
      <w:tr w:rsidR="001522EB" w14:paraId="70A11C47" w14:textId="77777777">
        <w:trPr>
          <w:cantSplit/>
          <w:tblHeader/>
          <w:jc w:val="center"/>
        </w:trPr>
        <w:tc>
          <w:tcPr>
            <w:tcW w:w="900" w:type="dxa"/>
            <w:shd w:val="clear" w:color="auto" w:fill="D9D9D9"/>
            <w:vAlign w:val="center"/>
          </w:tcPr>
          <w:p w14:paraId="275B409E" w14:textId="77777777" w:rsidR="001522EB" w:rsidRDefault="0013026C">
            <w:pPr>
              <w:jc w:val="center"/>
            </w:pPr>
            <w:r>
              <w:rPr>
                <w:b/>
                <w:bCs/>
                <w:color w:val="000000"/>
                <w:sz w:val="19"/>
                <w:szCs w:val="19"/>
              </w:rPr>
              <w:t>ID</w:t>
            </w:r>
          </w:p>
        </w:tc>
        <w:tc>
          <w:tcPr>
            <w:tcW w:w="2000" w:type="dxa"/>
            <w:shd w:val="clear" w:color="auto" w:fill="D9D9D9"/>
            <w:vAlign w:val="center"/>
          </w:tcPr>
          <w:p w14:paraId="72CAAC43" w14:textId="77777777" w:rsidR="001522EB" w:rsidRDefault="0013026C">
            <w:pPr>
              <w:jc w:val="center"/>
            </w:pPr>
            <w:r>
              <w:rPr>
                <w:b/>
                <w:bCs/>
                <w:color w:val="000000"/>
                <w:sz w:val="19"/>
                <w:szCs w:val="19"/>
              </w:rPr>
              <w:t>Requerimiento</w:t>
            </w:r>
          </w:p>
        </w:tc>
        <w:tc>
          <w:tcPr>
            <w:tcW w:w="5850" w:type="dxa"/>
            <w:shd w:val="clear" w:color="auto" w:fill="D9D9D9"/>
            <w:vAlign w:val="center"/>
          </w:tcPr>
          <w:p w14:paraId="643F6F63" w14:textId="77777777" w:rsidR="001522EB" w:rsidRDefault="0013026C">
            <w:pPr>
              <w:jc w:val="center"/>
            </w:pPr>
            <w:r>
              <w:rPr>
                <w:b/>
                <w:bCs/>
                <w:color w:val="000000"/>
                <w:sz w:val="19"/>
                <w:szCs w:val="19"/>
              </w:rPr>
              <w:t>Descripción</w:t>
            </w:r>
          </w:p>
        </w:tc>
      </w:tr>
      <w:tr w:rsidR="001522EB" w14:paraId="16D637FE" w14:textId="77777777">
        <w:trPr>
          <w:cantSplit/>
          <w:jc w:val="center"/>
        </w:trPr>
        <w:tc>
          <w:tcPr>
            <w:tcW w:w="900" w:type="dxa"/>
          </w:tcPr>
          <w:p w14:paraId="6FC6BE89" w14:textId="77777777" w:rsidR="001522EB" w:rsidRDefault="0013026C">
            <w:r>
              <w:rPr>
                <w:b/>
                <w:bCs/>
                <w:color w:val="000000"/>
                <w:sz w:val="19"/>
                <w:szCs w:val="19"/>
              </w:rPr>
              <w:t>RF01</w:t>
            </w:r>
          </w:p>
        </w:tc>
        <w:tc>
          <w:tcPr>
            <w:tcW w:w="2000" w:type="dxa"/>
          </w:tcPr>
          <w:p w14:paraId="36887998" w14:textId="77777777" w:rsidR="001522EB" w:rsidRDefault="0013026C">
            <w:r>
              <w:rPr>
                <w:color w:val="000000"/>
                <w:sz w:val="19"/>
                <w:szCs w:val="19"/>
              </w:rPr>
              <w:t>Gestión de productos</w:t>
            </w:r>
          </w:p>
        </w:tc>
        <w:tc>
          <w:tcPr>
            <w:tcW w:w="5850" w:type="dxa"/>
          </w:tcPr>
          <w:p w14:paraId="2CAD7E62" w14:textId="77777777" w:rsidR="001522EB" w:rsidRDefault="0013026C">
            <w:r>
              <w:rPr>
                <w:color w:val="000000"/>
                <w:sz w:val="19"/>
                <w:szCs w:val="19"/>
              </w:rPr>
              <w:t>Crear, consultar, actualizar e inactivar productos (SKU único, nombre, descripción, marca, categoría, unidad de medida —unidad, kilo, litro—, precio y stock mínimo). Un producto con movimientos no se elimina, solo se inactiva.</w:t>
            </w:r>
          </w:p>
        </w:tc>
      </w:tr>
      <w:tr w:rsidR="001522EB" w14:paraId="233A4E75" w14:textId="77777777">
        <w:trPr>
          <w:cantSplit/>
          <w:jc w:val="center"/>
        </w:trPr>
        <w:tc>
          <w:tcPr>
            <w:tcW w:w="900" w:type="dxa"/>
          </w:tcPr>
          <w:p w14:paraId="332EBC34" w14:textId="77777777" w:rsidR="001522EB" w:rsidRDefault="0013026C">
            <w:r>
              <w:rPr>
                <w:b/>
                <w:bCs/>
                <w:color w:val="000000"/>
                <w:sz w:val="19"/>
                <w:szCs w:val="19"/>
              </w:rPr>
              <w:t>RF02</w:t>
            </w:r>
          </w:p>
        </w:tc>
        <w:tc>
          <w:tcPr>
            <w:tcW w:w="2000" w:type="dxa"/>
          </w:tcPr>
          <w:p w14:paraId="22F6E1D2" w14:textId="77777777" w:rsidR="001522EB" w:rsidRDefault="0013026C">
            <w:r>
              <w:rPr>
                <w:color w:val="000000"/>
                <w:sz w:val="19"/>
                <w:szCs w:val="19"/>
              </w:rPr>
              <w:t>Gestión de categorías</w:t>
            </w:r>
          </w:p>
        </w:tc>
        <w:tc>
          <w:tcPr>
            <w:tcW w:w="5850" w:type="dxa"/>
          </w:tcPr>
          <w:p w14:paraId="74420157" w14:textId="77777777" w:rsidR="001522EB" w:rsidRDefault="0013026C">
            <w:r>
              <w:rPr>
                <w:color w:val="000000"/>
                <w:sz w:val="19"/>
                <w:szCs w:val="19"/>
              </w:rPr>
              <w:t>Crear, consultar, actualizar e inactivar categorías y subcategorías para clasificar los productos (por ejemplo, Lácteos &gt; Yogures). No se puede inactivar una categoría con productos activos.</w:t>
            </w:r>
          </w:p>
        </w:tc>
      </w:tr>
      <w:tr w:rsidR="001522EB" w14:paraId="2826BC2D" w14:textId="77777777">
        <w:trPr>
          <w:cantSplit/>
          <w:jc w:val="center"/>
        </w:trPr>
        <w:tc>
          <w:tcPr>
            <w:tcW w:w="900" w:type="dxa"/>
          </w:tcPr>
          <w:p w14:paraId="0EE0AF0E" w14:textId="77777777" w:rsidR="001522EB" w:rsidRDefault="0013026C">
            <w:r>
              <w:rPr>
                <w:b/>
                <w:bCs/>
                <w:color w:val="000000"/>
                <w:sz w:val="19"/>
                <w:szCs w:val="19"/>
              </w:rPr>
              <w:t>RF03</w:t>
            </w:r>
          </w:p>
        </w:tc>
        <w:tc>
          <w:tcPr>
            <w:tcW w:w="2000" w:type="dxa"/>
          </w:tcPr>
          <w:p w14:paraId="5CA869AD" w14:textId="77777777" w:rsidR="001522EB" w:rsidRDefault="0013026C">
            <w:r>
              <w:rPr>
                <w:color w:val="000000"/>
                <w:sz w:val="19"/>
                <w:szCs w:val="19"/>
              </w:rPr>
              <w:t>Gestión de proveedores</w:t>
            </w:r>
          </w:p>
        </w:tc>
        <w:tc>
          <w:tcPr>
            <w:tcW w:w="5850" w:type="dxa"/>
          </w:tcPr>
          <w:p w14:paraId="43EAF787" w14:textId="77777777" w:rsidR="001522EB" w:rsidRDefault="0013026C">
            <w:r>
              <w:rPr>
                <w:color w:val="000000"/>
                <w:sz w:val="19"/>
                <w:szCs w:val="19"/>
              </w:rPr>
              <w:t>Registrar, consultar, actualizar e inactivar proveedores (NIT único, razón social, contacto y estado). Un proveedor inactivo no puede usarse en nuevas órdenes.</w:t>
            </w:r>
          </w:p>
        </w:tc>
      </w:tr>
      <w:tr w:rsidR="001522EB" w14:paraId="53B071E6" w14:textId="77777777">
        <w:trPr>
          <w:cantSplit/>
          <w:jc w:val="center"/>
        </w:trPr>
        <w:tc>
          <w:tcPr>
            <w:tcW w:w="900" w:type="dxa"/>
          </w:tcPr>
          <w:p w14:paraId="710DE4C9" w14:textId="77777777" w:rsidR="001522EB" w:rsidRDefault="0013026C">
            <w:r>
              <w:rPr>
                <w:b/>
                <w:bCs/>
                <w:color w:val="000000"/>
                <w:sz w:val="19"/>
                <w:szCs w:val="19"/>
              </w:rPr>
              <w:t>RF04</w:t>
            </w:r>
          </w:p>
        </w:tc>
        <w:tc>
          <w:tcPr>
            <w:tcW w:w="2000" w:type="dxa"/>
          </w:tcPr>
          <w:p w14:paraId="3D0ED613" w14:textId="77777777" w:rsidR="001522EB" w:rsidRDefault="0013026C">
            <w:r>
              <w:rPr>
                <w:color w:val="000000"/>
                <w:sz w:val="19"/>
                <w:szCs w:val="19"/>
              </w:rPr>
              <w:t>Control de stock y movimientos</w:t>
            </w:r>
          </w:p>
        </w:tc>
        <w:tc>
          <w:tcPr>
            <w:tcW w:w="5850" w:type="dxa"/>
          </w:tcPr>
          <w:p w14:paraId="7D3775D5" w14:textId="77777777" w:rsidR="001522EB" w:rsidRDefault="0013026C">
            <w:r>
              <w:rPr>
                <w:color w:val="000000"/>
                <w:sz w:val="19"/>
                <w:szCs w:val="19"/>
              </w:rPr>
              <w:t>Mantener el saldo de cada producto por bodega y actualizarlo mediante entradas, salidas, ajustes (mermas, daños, diferencias de conteo) y traslados. Todo ajuste exige un motivo. Ninguna salida puede dejar el saldo en negativo.</w:t>
            </w:r>
          </w:p>
        </w:tc>
      </w:tr>
      <w:tr w:rsidR="001522EB" w14:paraId="216142F3" w14:textId="77777777">
        <w:trPr>
          <w:cantSplit/>
          <w:jc w:val="center"/>
        </w:trPr>
        <w:tc>
          <w:tcPr>
            <w:tcW w:w="900" w:type="dxa"/>
          </w:tcPr>
          <w:p w14:paraId="330E78C5" w14:textId="77777777" w:rsidR="001522EB" w:rsidRDefault="0013026C">
            <w:r>
              <w:rPr>
                <w:b/>
                <w:bCs/>
                <w:color w:val="000000"/>
                <w:sz w:val="19"/>
                <w:szCs w:val="19"/>
              </w:rPr>
              <w:t>RF05</w:t>
            </w:r>
          </w:p>
        </w:tc>
        <w:tc>
          <w:tcPr>
            <w:tcW w:w="2000" w:type="dxa"/>
          </w:tcPr>
          <w:p w14:paraId="4D3BECD7" w14:textId="77777777" w:rsidR="001522EB" w:rsidRDefault="0013026C">
            <w:r>
              <w:rPr>
                <w:color w:val="000000"/>
                <w:sz w:val="19"/>
                <w:szCs w:val="19"/>
              </w:rPr>
              <w:t>Gestión de bodegas</w:t>
            </w:r>
          </w:p>
        </w:tc>
        <w:tc>
          <w:tcPr>
            <w:tcW w:w="5850" w:type="dxa"/>
          </w:tcPr>
          <w:p w14:paraId="0EF9D4B1" w14:textId="77777777" w:rsidR="001522EB" w:rsidRDefault="0013026C">
            <w:r>
              <w:rPr>
                <w:color w:val="000000"/>
                <w:sz w:val="19"/>
                <w:szCs w:val="19"/>
              </w:rPr>
              <w:t>Crear, consultar, actualizar e inactivar bodegas, y consultar el saldo de un producto por bodega y el consolidado total.</w:t>
            </w:r>
          </w:p>
        </w:tc>
      </w:tr>
      <w:tr w:rsidR="001522EB" w14:paraId="0E4CDBA0" w14:textId="77777777">
        <w:trPr>
          <w:cantSplit/>
          <w:jc w:val="center"/>
        </w:trPr>
        <w:tc>
          <w:tcPr>
            <w:tcW w:w="900" w:type="dxa"/>
          </w:tcPr>
          <w:p w14:paraId="2B52240B" w14:textId="77777777" w:rsidR="001522EB" w:rsidRDefault="0013026C">
            <w:r>
              <w:rPr>
                <w:b/>
                <w:bCs/>
                <w:color w:val="000000"/>
                <w:sz w:val="19"/>
                <w:szCs w:val="19"/>
              </w:rPr>
              <w:t>RF06</w:t>
            </w:r>
          </w:p>
        </w:tc>
        <w:tc>
          <w:tcPr>
            <w:tcW w:w="2000" w:type="dxa"/>
          </w:tcPr>
          <w:p w14:paraId="093D8394" w14:textId="77777777" w:rsidR="001522EB" w:rsidRDefault="0013026C">
            <w:r>
              <w:rPr>
                <w:color w:val="000000"/>
                <w:sz w:val="19"/>
                <w:szCs w:val="19"/>
              </w:rPr>
              <w:t>Órdenes de compra</w:t>
            </w:r>
          </w:p>
        </w:tc>
        <w:tc>
          <w:tcPr>
            <w:tcW w:w="5850" w:type="dxa"/>
          </w:tcPr>
          <w:p w14:paraId="17ED867B" w14:textId="77777777" w:rsidR="001522EB" w:rsidRDefault="0013026C">
            <w:r>
              <w:rPr>
                <w:color w:val="000000"/>
                <w:sz w:val="19"/>
                <w:szCs w:val="19"/>
              </w:rPr>
              <w:t>Crear órdenes de compra a proveedores con uno o varios ítems y gestionar sus estados (Borrador, Aprobada, Recibida parcialmente, Recibida, Anulada). La recepción genera la entrada en el inventario.</w:t>
            </w:r>
          </w:p>
        </w:tc>
      </w:tr>
      <w:tr w:rsidR="001522EB" w14:paraId="1C8B76A1" w14:textId="77777777">
        <w:trPr>
          <w:cantSplit/>
          <w:jc w:val="center"/>
        </w:trPr>
        <w:tc>
          <w:tcPr>
            <w:tcW w:w="900" w:type="dxa"/>
          </w:tcPr>
          <w:p w14:paraId="359252C8" w14:textId="77777777" w:rsidR="001522EB" w:rsidRDefault="0013026C">
            <w:r>
              <w:rPr>
                <w:b/>
                <w:bCs/>
                <w:color w:val="000000"/>
                <w:sz w:val="19"/>
                <w:szCs w:val="19"/>
              </w:rPr>
              <w:t>RF07</w:t>
            </w:r>
          </w:p>
        </w:tc>
        <w:tc>
          <w:tcPr>
            <w:tcW w:w="2000" w:type="dxa"/>
          </w:tcPr>
          <w:p w14:paraId="497E8B56" w14:textId="77777777" w:rsidR="001522EB" w:rsidRDefault="0013026C">
            <w:r>
              <w:rPr>
                <w:color w:val="000000"/>
                <w:sz w:val="19"/>
                <w:szCs w:val="19"/>
              </w:rPr>
              <w:t>Gestión de usuarios y roles</w:t>
            </w:r>
          </w:p>
        </w:tc>
        <w:tc>
          <w:tcPr>
            <w:tcW w:w="5850" w:type="dxa"/>
          </w:tcPr>
          <w:p w14:paraId="16B4436D" w14:textId="77777777" w:rsidR="001522EB" w:rsidRDefault="0013026C">
            <w:r>
              <w:rPr>
                <w:color w:val="000000"/>
                <w:sz w:val="19"/>
                <w:szCs w:val="19"/>
              </w:rPr>
              <w:t>Administrar usuarios y asignarles roles (Administrador, Jefe de bodega, Compras, Gerente) con permisos específicos sobre las operaciones del sistema. Los usuarios y roles se gestionan en el API Gateway.</w:t>
            </w:r>
          </w:p>
        </w:tc>
      </w:tr>
      <w:tr w:rsidR="001522EB" w14:paraId="20C29D48" w14:textId="77777777">
        <w:trPr>
          <w:cantSplit/>
          <w:jc w:val="center"/>
        </w:trPr>
        <w:tc>
          <w:tcPr>
            <w:tcW w:w="900" w:type="dxa"/>
          </w:tcPr>
          <w:p w14:paraId="2D52C3A6" w14:textId="77777777" w:rsidR="001522EB" w:rsidRDefault="0013026C">
            <w:r>
              <w:rPr>
                <w:b/>
                <w:bCs/>
                <w:color w:val="000000"/>
                <w:sz w:val="19"/>
                <w:szCs w:val="19"/>
              </w:rPr>
              <w:t>RF08</w:t>
            </w:r>
          </w:p>
        </w:tc>
        <w:tc>
          <w:tcPr>
            <w:tcW w:w="2000" w:type="dxa"/>
          </w:tcPr>
          <w:p w14:paraId="5B2883E1" w14:textId="77777777" w:rsidR="001522EB" w:rsidRDefault="0013026C">
            <w:r>
              <w:rPr>
                <w:color w:val="000000"/>
                <w:sz w:val="19"/>
                <w:szCs w:val="19"/>
              </w:rPr>
              <w:t>Autenticación</w:t>
            </w:r>
          </w:p>
        </w:tc>
        <w:tc>
          <w:tcPr>
            <w:tcW w:w="5850" w:type="dxa"/>
          </w:tcPr>
          <w:p w14:paraId="3C584101" w14:textId="77777777" w:rsidR="001522EB" w:rsidRDefault="0013026C">
            <w:r>
              <w:rPr>
                <w:color w:val="000000"/>
                <w:sz w:val="19"/>
                <w:szCs w:val="19"/>
              </w:rPr>
              <w:t>Autenticar a los usuarios con correo y contraseña en el API Gateway y emitir un token de acceso personal de Laravel Sanctum, que se exige en cada petición y se revoca al cerrar sesión. El usuario puede cambiar su contraseña y solicitar su recuperación.</w:t>
            </w:r>
          </w:p>
        </w:tc>
      </w:tr>
      <w:tr w:rsidR="001522EB" w14:paraId="53976998" w14:textId="77777777">
        <w:trPr>
          <w:cantSplit/>
          <w:jc w:val="center"/>
        </w:trPr>
        <w:tc>
          <w:tcPr>
            <w:tcW w:w="900" w:type="dxa"/>
          </w:tcPr>
          <w:p w14:paraId="6518856E" w14:textId="77777777" w:rsidR="001522EB" w:rsidRDefault="0013026C">
            <w:r>
              <w:rPr>
                <w:b/>
                <w:bCs/>
                <w:color w:val="000000"/>
                <w:sz w:val="19"/>
                <w:szCs w:val="19"/>
              </w:rPr>
              <w:t>RF09</w:t>
            </w:r>
          </w:p>
        </w:tc>
        <w:tc>
          <w:tcPr>
            <w:tcW w:w="2000" w:type="dxa"/>
          </w:tcPr>
          <w:p w14:paraId="78C3C897" w14:textId="77777777" w:rsidR="001522EB" w:rsidRDefault="0013026C">
            <w:r>
              <w:rPr>
                <w:color w:val="000000"/>
                <w:sz w:val="19"/>
                <w:szCs w:val="19"/>
              </w:rPr>
              <w:t>Alertas de stock bajo</w:t>
            </w:r>
          </w:p>
        </w:tc>
        <w:tc>
          <w:tcPr>
            <w:tcW w:w="5850" w:type="dxa"/>
          </w:tcPr>
          <w:p w14:paraId="09F33DD2" w14:textId="77777777" w:rsidR="001522EB" w:rsidRDefault="0013026C">
            <w:r>
              <w:rPr>
                <w:color w:val="000000"/>
                <w:sz w:val="19"/>
                <w:szCs w:val="19"/>
              </w:rPr>
              <w:t>Generar y notificar una alerta cuando el saldo de un producto en una bodega llegue a su stock mínimo o quede por debajo.</w:t>
            </w:r>
          </w:p>
        </w:tc>
      </w:tr>
      <w:tr w:rsidR="001522EB" w14:paraId="4F281F2A" w14:textId="77777777">
        <w:trPr>
          <w:cantSplit/>
          <w:jc w:val="center"/>
        </w:trPr>
        <w:tc>
          <w:tcPr>
            <w:tcW w:w="900" w:type="dxa"/>
          </w:tcPr>
          <w:p w14:paraId="72BAD0EB" w14:textId="77777777" w:rsidR="001522EB" w:rsidRDefault="0013026C">
            <w:r>
              <w:rPr>
                <w:b/>
                <w:bCs/>
                <w:color w:val="000000"/>
                <w:sz w:val="19"/>
                <w:szCs w:val="19"/>
              </w:rPr>
              <w:t>RF10</w:t>
            </w:r>
          </w:p>
        </w:tc>
        <w:tc>
          <w:tcPr>
            <w:tcW w:w="2000" w:type="dxa"/>
          </w:tcPr>
          <w:p w14:paraId="03EDCC5F" w14:textId="77777777" w:rsidR="001522EB" w:rsidRDefault="0013026C">
            <w:r>
              <w:rPr>
                <w:color w:val="000000"/>
                <w:sz w:val="19"/>
                <w:szCs w:val="19"/>
              </w:rPr>
              <w:t>Auditoría y kardex</w:t>
            </w:r>
          </w:p>
        </w:tc>
        <w:tc>
          <w:tcPr>
            <w:tcW w:w="5850" w:type="dxa"/>
          </w:tcPr>
          <w:p w14:paraId="54C61BDF" w14:textId="77777777" w:rsidR="001522EB" w:rsidRDefault="0013026C">
            <w:r>
              <w:rPr>
                <w:color w:val="000000"/>
                <w:sz w:val="19"/>
                <w:szCs w:val="19"/>
              </w:rPr>
              <w:t>Registrar de forma inmutable todos los movimientos (usuario, fecha, tipo, cantidad y motivo) y consultar el kardex de un producto por bodega y rango de fechas, con saldo en cantidad y valorizado.</w:t>
            </w:r>
          </w:p>
        </w:tc>
      </w:tr>
      <w:tr w:rsidR="001522EB" w14:paraId="21284265" w14:textId="77777777">
        <w:trPr>
          <w:cantSplit/>
          <w:jc w:val="center"/>
        </w:trPr>
        <w:tc>
          <w:tcPr>
            <w:tcW w:w="900" w:type="dxa"/>
          </w:tcPr>
          <w:p w14:paraId="51407057" w14:textId="77777777" w:rsidR="001522EB" w:rsidRDefault="0013026C">
            <w:r>
              <w:rPr>
                <w:b/>
                <w:bCs/>
                <w:color w:val="000000"/>
                <w:sz w:val="19"/>
                <w:szCs w:val="19"/>
              </w:rPr>
              <w:t>RF11</w:t>
            </w:r>
          </w:p>
        </w:tc>
        <w:tc>
          <w:tcPr>
            <w:tcW w:w="2000" w:type="dxa"/>
          </w:tcPr>
          <w:p w14:paraId="30228A88" w14:textId="77777777" w:rsidR="001522EB" w:rsidRDefault="0013026C">
            <w:r>
              <w:rPr>
                <w:color w:val="000000"/>
                <w:sz w:val="19"/>
                <w:szCs w:val="19"/>
              </w:rPr>
              <w:t>Reportes de valorización y rotación</w:t>
            </w:r>
          </w:p>
        </w:tc>
        <w:tc>
          <w:tcPr>
            <w:tcW w:w="5850" w:type="dxa"/>
          </w:tcPr>
          <w:p w14:paraId="38293D7A" w14:textId="77777777" w:rsidR="001522EB" w:rsidRDefault="0013026C">
            <w:r>
              <w:rPr>
                <w:color w:val="000000"/>
                <w:sz w:val="19"/>
                <w:szCs w:val="19"/>
              </w:rPr>
              <w:t>Generar el reporte de valor del inventario por producto, categoría y bodega, y el reporte de rotación por periodo, exportables a CSV o PDF.</w:t>
            </w:r>
          </w:p>
        </w:tc>
      </w:tr>
      <w:tr w:rsidR="001522EB" w14:paraId="3294BC00" w14:textId="77777777">
        <w:trPr>
          <w:cantSplit/>
          <w:jc w:val="center"/>
        </w:trPr>
        <w:tc>
          <w:tcPr>
            <w:tcW w:w="900" w:type="dxa"/>
          </w:tcPr>
          <w:p w14:paraId="2087E4B3" w14:textId="77777777" w:rsidR="001522EB" w:rsidRDefault="0013026C">
            <w:r>
              <w:rPr>
                <w:b/>
                <w:bCs/>
                <w:color w:val="000000"/>
                <w:sz w:val="19"/>
                <w:szCs w:val="19"/>
              </w:rPr>
              <w:t>RF12</w:t>
            </w:r>
          </w:p>
        </w:tc>
        <w:tc>
          <w:tcPr>
            <w:tcW w:w="2000" w:type="dxa"/>
          </w:tcPr>
          <w:p w14:paraId="185D6FDC" w14:textId="77777777" w:rsidR="001522EB" w:rsidRDefault="0013026C">
            <w:r>
              <w:rPr>
                <w:color w:val="000000"/>
                <w:sz w:val="19"/>
                <w:szCs w:val="19"/>
              </w:rPr>
              <w:t>Búsquedas y filtros</w:t>
            </w:r>
          </w:p>
        </w:tc>
        <w:tc>
          <w:tcPr>
            <w:tcW w:w="5850" w:type="dxa"/>
          </w:tcPr>
          <w:p w14:paraId="539913AD" w14:textId="77777777" w:rsidR="001522EB" w:rsidRDefault="0013026C">
            <w:r>
              <w:rPr>
                <w:color w:val="000000"/>
                <w:sz w:val="19"/>
                <w:szCs w:val="19"/>
              </w:rPr>
              <w:t>Buscar productos por SKU o nombre, y filtrar por categoría, estado y precio, con resultados paginados. Los listados de movimientos, órdenes y proveedores también se pueden filtrar.</w:t>
            </w:r>
          </w:p>
        </w:tc>
      </w:tr>
      <w:tr w:rsidR="001522EB" w14:paraId="3D989ADD" w14:textId="77777777">
        <w:trPr>
          <w:cantSplit/>
          <w:jc w:val="center"/>
        </w:trPr>
        <w:tc>
          <w:tcPr>
            <w:tcW w:w="900" w:type="dxa"/>
          </w:tcPr>
          <w:p w14:paraId="0EFD11E9" w14:textId="77777777" w:rsidR="001522EB" w:rsidRDefault="0013026C">
            <w:r>
              <w:rPr>
                <w:b/>
                <w:bCs/>
                <w:color w:val="000000"/>
                <w:sz w:val="19"/>
                <w:szCs w:val="19"/>
              </w:rPr>
              <w:t>RF13</w:t>
            </w:r>
          </w:p>
        </w:tc>
        <w:tc>
          <w:tcPr>
            <w:tcW w:w="2000" w:type="dxa"/>
          </w:tcPr>
          <w:p w14:paraId="1DA4DD2E" w14:textId="77777777" w:rsidR="001522EB" w:rsidRDefault="0013026C">
            <w:r>
              <w:rPr>
                <w:color w:val="000000"/>
                <w:sz w:val="19"/>
                <w:szCs w:val="19"/>
              </w:rPr>
              <w:t>Devoluciones</w:t>
            </w:r>
          </w:p>
        </w:tc>
        <w:tc>
          <w:tcPr>
            <w:tcW w:w="5850" w:type="dxa"/>
          </w:tcPr>
          <w:p w14:paraId="58C5F6C4" w14:textId="77777777" w:rsidR="001522EB" w:rsidRDefault="0013026C">
            <w:r>
              <w:rPr>
                <w:color w:val="000000"/>
                <w:sz w:val="19"/>
                <w:szCs w:val="19"/>
              </w:rPr>
              <w:t>Registrar devoluciones de clientes (reingresan al stock con referencia a la factura del POS) y devoluciones a proveedores por producto no conforme o en mal estado (vinculadas a una orden de compra recibida).</w:t>
            </w:r>
          </w:p>
        </w:tc>
      </w:tr>
      <w:tr w:rsidR="001522EB" w14:paraId="0F97F380" w14:textId="77777777">
        <w:trPr>
          <w:cantSplit/>
          <w:jc w:val="center"/>
        </w:trPr>
        <w:tc>
          <w:tcPr>
            <w:tcW w:w="900" w:type="dxa"/>
          </w:tcPr>
          <w:p w14:paraId="2279EC13" w14:textId="77777777" w:rsidR="001522EB" w:rsidRDefault="0013026C">
            <w:pPr>
              <w:keepNext/>
            </w:pPr>
            <w:r>
              <w:rPr>
                <w:b/>
                <w:bCs/>
                <w:color w:val="000000"/>
                <w:sz w:val="19"/>
                <w:szCs w:val="19"/>
              </w:rPr>
              <w:t>RF14</w:t>
            </w:r>
          </w:p>
        </w:tc>
        <w:tc>
          <w:tcPr>
            <w:tcW w:w="2000" w:type="dxa"/>
          </w:tcPr>
          <w:p w14:paraId="3A625BEF" w14:textId="77777777" w:rsidR="001522EB" w:rsidRDefault="0013026C">
            <w:pPr>
              <w:keepNext/>
            </w:pPr>
            <w:r>
              <w:rPr>
                <w:color w:val="000000"/>
                <w:sz w:val="19"/>
                <w:szCs w:val="19"/>
              </w:rPr>
              <w:t>Dashboard</w:t>
            </w:r>
          </w:p>
        </w:tc>
        <w:tc>
          <w:tcPr>
            <w:tcW w:w="5850" w:type="dxa"/>
          </w:tcPr>
          <w:p w14:paraId="6A6DC127" w14:textId="77777777" w:rsidR="001522EB" w:rsidRDefault="0013026C">
            <w:pPr>
              <w:keepNext/>
            </w:pPr>
            <w:r>
              <w:rPr>
                <w:color w:val="000000"/>
                <w:sz w:val="19"/>
                <w:szCs w:val="19"/>
              </w:rPr>
              <w:t>Mostrar indicadores clave: valor total del inventario, productos en stock bajo, órdenes pendientes, productos de mayor y menor rotación y movimientos recientes.</w:t>
            </w:r>
          </w:p>
        </w:tc>
      </w:tr>
    </w:tbl>
    <w:p w14:paraId="5365326A" w14:textId="77777777" w:rsidR="001522EB" w:rsidRDefault="0013026C">
      <w:pPr>
        <w:spacing w:before="60" w:after="240" w:line="240" w:lineRule="auto"/>
      </w:pPr>
      <w:r>
        <w:rPr>
          <w:color w:val="000000"/>
          <w:sz w:val="18"/>
          <w:szCs w:val="18"/>
        </w:rPr>
        <w:t>Fuente: elaboración propia con base en la sección 8.1 del enunciado del proyecto.</w:t>
      </w:r>
    </w:p>
    <w:p w14:paraId="6C4C0032" w14:textId="77777777" w:rsidR="001522EB" w:rsidRDefault="0013026C">
      <w:pPr>
        <w:pStyle w:val="Ttulo2"/>
        <w:numPr>
          <w:ilvl w:val="1"/>
          <w:numId w:val="3"/>
        </w:numPr>
      </w:pPr>
      <w:bookmarkStart w:id="15" w:name="_Toc243333072"/>
      <w:r>
        <w:t>Requerimientos no funcionales</w:t>
      </w:r>
      <w:bookmarkEnd w:id="15"/>
    </w:p>
    <w:p w14:paraId="3AB06963" w14:textId="77777777" w:rsidR="001522EB" w:rsidRDefault="0013026C">
      <w:pPr>
        <w:keepNext/>
        <w:tabs>
          <w:tab w:val="left" w:pos="1134"/>
        </w:tabs>
        <w:spacing w:before="240" w:after="120" w:line="240" w:lineRule="auto"/>
        <w:ind w:left="1134" w:hanging="1134"/>
      </w:pPr>
      <w:r>
        <w:rPr>
          <w:b/>
          <w:bCs/>
          <w:color w:val="000000"/>
        </w:rPr>
        <w:t>Tabla 4:</w:t>
      </w:r>
      <w:r>
        <w:tab/>
      </w:r>
      <w:r>
        <w:rPr>
          <w:color w:val="000000"/>
        </w:rPr>
        <w:t>Requerimientos no funcionales.</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1000"/>
        <w:gridCol w:w="2050"/>
        <w:gridCol w:w="5700"/>
      </w:tblGrid>
      <w:tr w:rsidR="001522EB" w14:paraId="1B640C54" w14:textId="77777777">
        <w:trPr>
          <w:cantSplit/>
          <w:tblHeader/>
          <w:jc w:val="center"/>
        </w:trPr>
        <w:tc>
          <w:tcPr>
            <w:tcW w:w="1000" w:type="dxa"/>
            <w:shd w:val="clear" w:color="auto" w:fill="D9D9D9"/>
            <w:vAlign w:val="center"/>
          </w:tcPr>
          <w:p w14:paraId="1CC7D21C" w14:textId="77777777" w:rsidR="001522EB" w:rsidRDefault="0013026C">
            <w:pPr>
              <w:jc w:val="center"/>
            </w:pPr>
            <w:r>
              <w:rPr>
                <w:b/>
                <w:bCs/>
                <w:color w:val="000000"/>
                <w:sz w:val="19"/>
                <w:szCs w:val="19"/>
              </w:rPr>
              <w:t>ID</w:t>
            </w:r>
          </w:p>
        </w:tc>
        <w:tc>
          <w:tcPr>
            <w:tcW w:w="2050" w:type="dxa"/>
            <w:shd w:val="clear" w:color="auto" w:fill="D9D9D9"/>
            <w:vAlign w:val="center"/>
          </w:tcPr>
          <w:p w14:paraId="38D4392A" w14:textId="77777777" w:rsidR="001522EB" w:rsidRDefault="0013026C">
            <w:pPr>
              <w:jc w:val="center"/>
            </w:pPr>
            <w:r>
              <w:rPr>
                <w:b/>
                <w:bCs/>
                <w:color w:val="000000"/>
                <w:sz w:val="19"/>
                <w:szCs w:val="19"/>
              </w:rPr>
              <w:t>Categoría</w:t>
            </w:r>
          </w:p>
        </w:tc>
        <w:tc>
          <w:tcPr>
            <w:tcW w:w="5700" w:type="dxa"/>
            <w:shd w:val="clear" w:color="auto" w:fill="D9D9D9"/>
            <w:vAlign w:val="center"/>
          </w:tcPr>
          <w:p w14:paraId="40A1D48D" w14:textId="77777777" w:rsidR="001522EB" w:rsidRDefault="0013026C">
            <w:pPr>
              <w:jc w:val="center"/>
            </w:pPr>
            <w:r>
              <w:rPr>
                <w:b/>
                <w:bCs/>
                <w:color w:val="000000"/>
                <w:sz w:val="19"/>
                <w:szCs w:val="19"/>
              </w:rPr>
              <w:t>Descripción</w:t>
            </w:r>
          </w:p>
        </w:tc>
      </w:tr>
      <w:tr w:rsidR="001522EB" w14:paraId="37CBE313" w14:textId="77777777">
        <w:trPr>
          <w:cantSplit/>
          <w:jc w:val="center"/>
        </w:trPr>
        <w:tc>
          <w:tcPr>
            <w:tcW w:w="1000" w:type="dxa"/>
          </w:tcPr>
          <w:p w14:paraId="6839A397" w14:textId="77777777" w:rsidR="001522EB" w:rsidRDefault="0013026C">
            <w:r>
              <w:rPr>
                <w:b/>
                <w:bCs/>
                <w:color w:val="000000"/>
                <w:sz w:val="19"/>
                <w:szCs w:val="19"/>
              </w:rPr>
              <w:t>RNF01</w:t>
            </w:r>
          </w:p>
        </w:tc>
        <w:tc>
          <w:tcPr>
            <w:tcW w:w="2050" w:type="dxa"/>
          </w:tcPr>
          <w:p w14:paraId="0645D716" w14:textId="77777777" w:rsidR="001522EB" w:rsidRDefault="0013026C">
            <w:r>
              <w:rPr>
                <w:color w:val="000000"/>
                <w:sz w:val="19"/>
                <w:szCs w:val="19"/>
              </w:rPr>
              <w:t>Arquitectura</w:t>
            </w:r>
          </w:p>
        </w:tc>
        <w:tc>
          <w:tcPr>
            <w:tcW w:w="5700" w:type="dxa"/>
          </w:tcPr>
          <w:p w14:paraId="40592ACD" w14:textId="77777777" w:rsidR="001522EB" w:rsidRDefault="0013026C">
            <w:r>
              <w:rPr>
                <w:color w:val="000000"/>
                <w:sz w:val="19"/>
                <w:szCs w:val="19"/>
              </w:rPr>
              <w:t>Microservicios desacoplados que se comunican por REST (síncrono) y por eventos (asíncrono).</w:t>
            </w:r>
          </w:p>
        </w:tc>
      </w:tr>
      <w:tr w:rsidR="001522EB" w14:paraId="7BEE8FC6" w14:textId="77777777">
        <w:trPr>
          <w:cantSplit/>
          <w:jc w:val="center"/>
        </w:trPr>
        <w:tc>
          <w:tcPr>
            <w:tcW w:w="1000" w:type="dxa"/>
          </w:tcPr>
          <w:p w14:paraId="23D31942" w14:textId="77777777" w:rsidR="001522EB" w:rsidRDefault="0013026C">
            <w:r>
              <w:rPr>
                <w:b/>
                <w:bCs/>
                <w:color w:val="000000"/>
                <w:sz w:val="19"/>
                <w:szCs w:val="19"/>
              </w:rPr>
              <w:t>RNF02</w:t>
            </w:r>
          </w:p>
        </w:tc>
        <w:tc>
          <w:tcPr>
            <w:tcW w:w="2050" w:type="dxa"/>
          </w:tcPr>
          <w:p w14:paraId="747CCC25" w14:textId="77777777" w:rsidR="001522EB" w:rsidRDefault="0013026C">
            <w:r>
              <w:rPr>
                <w:color w:val="000000"/>
                <w:sz w:val="19"/>
                <w:szCs w:val="19"/>
              </w:rPr>
              <w:t>Persistencia</w:t>
            </w:r>
          </w:p>
        </w:tc>
        <w:tc>
          <w:tcPr>
            <w:tcW w:w="5700" w:type="dxa"/>
          </w:tcPr>
          <w:p w14:paraId="72B0991B" w14:textId="77777777" w:rsidR="001522EB" w:rsidRDefault="0013026C">
            <w:r>
              <w:rPr>
                <w:color w:val="000000"/>
                <w:sz w:val="19"/>
                <w:szCs w:val="19"/>
              </w:rPr>
              <w:t>Cada microservicio tiene su propia base de datos; ningún servicio accede a la base de datos de otro. El API Gateway también tiene la suya, con usuarios, roles y tokens.</w:t>
            </w:r>
          </w:p>
        </w:tc>
      </w:tr>
      <w:tr w:rsidR="001522EB" w14:paraId="37DF325F" w14:textId="77777777">
        <w:trPr>
          <w:cantSplit/>
          <w:jc w:val="center"/>
        </w:trPr>
        <w:tc>
          <w:tcPr>
            <w:tcW w:w="1000" w:type="dxa"/>
          </w:tcPr>
          <w:p w14:paraId="0A0E9F96" w14:textId="77777777" w:rsidR="001522EB" w:rsidRDefault="0013026C">
            <w:r>
              <w:rPr>
                <w:b/>
                <w:bCs/>
                <w:color w:val="000000"/>
                <w:sz w:val="19"/>
                <w:szCs w:val="19"/>
              </w:rPr>
              <w:t>RNF03</w:t>
            </w:r>
          </w:p>
        </w:tc>
        <w:tc>
          <w:tcPr>
            <w:tcW w:w="2050" w:type="dxa"/>
          </w:tcPr>
          <w:p w14:paraId="6E0CEC52" w14:textId="77777777" w:rsidR="001522EB" w:rsidRDefault="0013026C">
            <w:r>
              <w:rPr>
                <w:color w:val="000000"/>
                <w:sz w:val="19"/>
                <w:szCs w:val="19"/>
              </w:rPr>
              <w:t>API Gateway</w:t>
            </w:r>
          </w:p>
        </w:tc>
        <w:tc>
          <w:tcPr>
            <w:tcW w:w="5700" w:type="dxa"/>
          </w:tcPr>
          <w:p w14:paraId="00D2F3CA" w14:textId="77777777" w:rsidR="001522EB" w:rsidRDefault="0013026C">
            <w:r>
              <w:rPr>
                <w:color w:val="000000"/>
                <w:sz w:val="19"/>
                <w:szCs w:val="19"/>
              </w:rPr>
              <w:t xml:space="preserve">Existe un único punto de entrada, desarrollado por el equipo en Laravel, que gestiona usuarios y roles, autentica las peticiones con Sanctum y las reenvía a los microservicios. Está prohibido usar Kong u otros </w:t>
            </w:r>
            <w:r>
              <w:rPr>
                <w:i/>
                <w:iCs/>
                <w:color w:val="000000"/>
                <w:sz w:val="19"/>
                <w:szCs w:val="19"/>
              </w:rPr>
              <w:t>gateways</w:t>
            </w:r>
            <w:r>
              <w:rPr>
                <w:color w:val="000000"/>
                <w:sz w:val="19"/>
                <w:szCs w:val="19"/>
              </w:rPr>
              <w:t xml:space="preserve"> de terceros.</w:t>
            </w:r>
          </w:p>
        </w:tc>
      </w:tr>
      <w:tr w:rsidR="001522EB" w14:paraId="58C6D03C" w14:textId="77777777">
        <w:trPr>
          <w:cantSplit/>
          <w:jc w:val="center"/>
        </w:trPr>
        <w:tc>
          <w:tcPr>
            <w:tcW w:w="1000" w:type="dxa"/>
          </w:tcPr>
          <w:p w14:paraId="089C43E1" w14:textId="77777777" w:rsidR="001522EB" w:rsidRDefault="0013026C">
            <w:r>
              <w:rPr>
                <w:b/>
                <w:bCs/>
                <w:color w:val="000000"/>
                <w:sz w:val="19"/>
                <w:szCs w:val="19"/>
              </w:rPr>
              <w:t>RNF04</w:t>
            </w:r>
          </w:p>
        </w:tc>
        <w:tc>
          <w:tcPr>
            <w:tcW w:w="2050" w:type="dxa"/>
          </w:tcPr>
          <w:p w14:paraId="6DE4B3C0" w14:textId="77777777" w:rsidR="001522EB" w:rsidRDefault="0013026C">
            <w:r>
              <w:rPr>
                <w:color w:val="000000"/>
                <w:sz w:val="19"/>
                <w:szCs w:val="19"/>
              </w:rPr>
              <w:t>Contenerización</w:t>
            </w:r>
          </w:p>
        </w:tc>
        <w:tc>
          <w:tcPr>
            <w:tcW w:w="5700" w:type="dxa"/>
          </w:tcPr>
          <w:p w14:paraId="79D0C29C" w14:textId="77777777" w:rsidR="001522EB" w:rsidRDefault="0013026C">
            <w:r>
              <w:rPr>
                <w:color w:val="000000"/>
                <w:sz w:val="19"/>
                <w:szCs w:val="19"/>
              </w:rPr>
              <w:t>Cada microservicio se empaqueta como imagen Docker; Docker Compose se usa solo en el entorno local.</w:t>
            </w:r>
          </w:p>
        </w:tc>
      </w:tr>
      <w:tr w:rsidR="001522EB" w14:paraId="3ED1F961" w14:textId="77777777">
        <w:trPr>
          <w:cantSplit/>
          <w:jc w:val="center"/>
        </w:trPr>
        <w:tc>
          <w:tcPr>
            <w:tcW w:w="1000" w:type="dxa"/>
          </w:tcPr>
          <w:p w14:paraId="5E2F677C" w14:textId="77777777" w:rsidR="001522EB" w:rsidRDefault="0013026C">
            <w:r>
              <w:rPr>
                <w:b/>
                <w:bCs/>
                <w:color w:val="000000"/>
                <w:sz w:val="19"/>
                <w:szCs w:val="19"/>
              </w:rPr>
              <w:t>RNF05</w:t>
            </w:r>
          </w:p>
        </w:tc>
        <w:tc>
          <w:tcPr>
            <w:tcW w:w="2050" w:type="dxa"/>
          </w:tcPr>
          <w:p w14:paraId="5BA1EA25" w14:textId="77777777" w:rsidR="001522EB" w:rsidRDefault="0013026C">
            <w:r>
              <w:rPr>
                <w:color w:val="000000"/>
                <w:sz w:val="19"/>
                <w:szCs w:val="19"/>
              </w:rPr>
              <w:t>Escalabilidad</w:t>
            </w:r>
          </w:p>
        </w:tc>
        <w:tc>
          <w:tcPr>
            <w:tcW w:w="5700" w:type="dxa"/>
          </w:tcPr>
          <w:p w14:paraId="6DA06F12" w14:textId="77777777" w:rsidR="001522EB" w:rsidRDefault="0013026C">
            <w:r>
              <w:rPr>
                <w:color w:val="000000"/>
                <w:sz w:val="19"/>
                <w:szCs w:val="19"/>
              </w:rPr>
              <w:t>Cada microservicio puede escalar horizontalmente de forma independiente.</w:t>
            </w:r>
          </w:p>
        </w:tc>
      </w:tr>
      <w:tr w:rsidR="001522EB" w14:paraId="11C84157" w14:textId="77777777">
        <w:trPr>
          <w:cantSplit/>
          <w:jc w:val="center"/>
        </w:trPr>
        <w:tc>
          <w:tcPr>
            <w:tcW w:w="1000" w:type="dxa"/>
          </w:tcPr>
          <w:p w14:paraId="1858D130" w14:textId="77777777" w:rsidR="001522EB" w:rsidRDefault="0013026C">
            <w:r>
              <w:rPr>
                <w:b/>
                <w:bCs/>
                <w:color w:val="000000"/>
                <w:sz w:val="19"/>
                <w:szCs w:val="19"/>
              </w:rPr>
              <w:t>RNF06</w:t>
            </w:r>
          </w:p>
        </w:tc>
        <w:tc>
          <w:tcPr>
            <w:tcW w:w="2050" w:type="dxa"/>
          </w:tcPr>
          <w:p w14:paraId="225DD4D6" w14:textId="77777777" w:rsidR="001522EB" w:rsidRDefault="0013026C">
            <w:r>
              <w:rPr>
                <w:color w:val="000000"/>
                <w:sz w:val="19"/>
                <w:szCs w:val="19"/>
              </w:rPr>
              <w:t>Orquestación</w:t>
            </w:r>
          </w:p>
        </w:tc>
        <w:tc>
          <w:tcPr>
            <w:tcW w:w="5700" w:type="dxa"/>
          </w:tcPr>
          <w:p w14:paraId="04BAEAA4" w14:textId="77777777" w:rsidR="001522EB" w:rsidRDefault="0013026C">
            <w:r>
              <w:rPr>
                <w:color w:val="000000"/>
                <w:sz w:val="19"/>
                <w:szCs w:val="19"/>
              </w:rPr>
              <w:t>El despliegue se hace en Kubernetes, y cada servicio puede desplegarse sin afectar a los demás.</w:t>
            </w:r>
          </w:p>
        </w:tc>
      </w:tr>
      <w:tr w:rsidR="001522EB" w14:paraId="0845EE20" w14:textId="77777777">
        <w:trPr>
          <w:cantSplit/>
          <w:jc w:val="center"/>
        </w:trPr>
        <w:tc>
          <w:tcPr>
            <w:tcW w:w="1000" w:type="dxa"/>
          </w:tcPr>
          <w:p w14:paraId="4A7F5D14" w14:textId="77777777" w:rsidR="001522EB" w:rsidRDefault="0013026C">
            <w:r>
              <w:rPr>
                <w:b/>
                <w:bCs/>
                <w:color w:val="000000"/>
                <w:sz w:val="19"/>
                <w:szCs w:val="19"/>
              </w:rPr>
              <w:t>RNF07</w:t>
            </w:r>
          </w:p>
        </w:tc>
        <w:tc>
          <w:tcPr>
            <w:tcW w:w="2050" w:type="dxa"/>
          </w:tcPr>
          <w:p w14:paraId="1322A421" w14:textId="77777777" w:rsidR="001522EB" w:rsidRDefault="0013026C">
            <w:r>
              <w:rPr>
                <w:color w:val="000000"/>
                <w:sz w:val="19"/>
                <w:szCs w:val="19"/>
              </w:rPr>
              <w:t>Rendimiento</w:t>
            </w:r>
          </w:p>
        </w:tc>
        <w:tc>
          <w:tcPr>
            <w:tcW w:w="5700" w:type="dxa"/>
          </w:tcPr>
          <w:p w14:paraId="32FF53FD" w14:textId="77777777" w:rsidR="001522EB" w:rsidRDefault="0013026C">
            <w:r>
              <w:rPr>
                <w:color w:val="000000"/>
                <w:sz w:val="19"/>
                <w:szCs w:val="19"/>
              </w:rPr>
              <w:t>Las consultas responden en menos de 2 segundos bajo la carga concurrente que el equipo definirá y sustentará en el plan de pruebas de rendimiento.</w:t>
            </w:r>
          </w:p>
        </w:tc>
      </w:tr>
      <w:tr w:rsidR="001522EB" w14:paraId="6527D0CB" w14:textId="77777777">
        <w:trPr>
          <w:cantSplit/>
          <w:jc w:val="center"/>
        </w:trPr>
        <w:tc>
          <w:tcPr>
            <w:tcW w:w="1000" w:type="dxa"/>
          </w:tcPr>
          <w:p w14:paraId="7DCCF399" w14:textId="77777777" w:rsidR="001522EB" w:rsidRDefault="0013026C">
            <w:r>
              <w:rPr>
                <w:b/>
                <w:bCs/>
                <w:color w:val="000000"/>
                <w:sz w:val="19"/>
                <w:szCs w:val="19"/>
              </w:rPr>
              <w:t>RNF08</w:t>
            </w:r>
          </w:p>
        </w:tc>
        <w:tc>
          <w:tcPr>
            <w:tcW w:w="2050" w:type="dxa"/>
          </w:tcPr>
          <w:p w14:paraId="3AAA3AB4" w14:textId="77777777" w:rsidR="001522EB" w:rsidRDefault="0013026C">
            <w:r>
              <w:rPr>
                <w:color w:val="000000"/>
                <w:sz w:val="19"/>
                <w:szCs w:val="19"/>
              </w:rPr>
              <w:t>Seguridad (autenticación)</w:t>
            </w:r>
          </w:p>
        </w:tc>
        <w:tc>
          <w:tcPr>
            <w:tcW w:w="5700" w:type="dxa"/>
          </w:tcPr>
          <w:p w14:paraId="2F9AEAA0" w14:textId="77777777" w:rsidR="001522EB" w:rsidRDefault="0013026C">
            <w:r>
              <w:rPr>
                <w:color w:val="000000"/>
                <w:sz w:val="19"/>
                <w:szCs w:val="19"/>
              </w:rPr>
              <w:t>Se usan tokens de acceso personal de Laravel Sanctum: el token se guarda en la base de datos solo como hash SHA-256 y se revoca al cerrar sesión. Las contraseñas se almacenan con hash y los secretos se leen de variables de entorno, no del código fuente.</w:t>
            </w:r>
          </w:p>
        </w:tc>
      </w:tr>
      <w:tr w:rsidR="001522EB" w14:paraId="55F651E3" w14:textId="77777777">
        <w:trPr>
          <w:cantSplit/>
          <w:jc w:val="center"/>
        </w:trPr>
        <w:tc>
          <w:tcPr>
            <w:tcW w:w="1000" w:type="dxa"/>
          </w:tcPr>
          <w:p w14:paraId="4381DF53" w14:textId="77777777" w:rsidR="001522EB" w:rsidRDefault="0013026C">
            <w:r>
              <w:rPr>
                <w:b/>
                <w:bCs/>
                <w:color w:val="000000"/>
                <w:sz w:val="19"/>
                <w:szCs w:val="19"/>
              </w:rPr>
              <w:t>RNF09</w:t>
            </w:r>
          </w:p>
        </w:tc>
        <w:tc>
          <w:tcPr>
            <w:tcW w:w="2050" w:type="dxa"/>
          </w:tcPr>
          <w:p w14:paraId="68615C59" w14:textId="77777777" w:rsidR="001522EB" w:rsidRDefault="0013026C">
            <w:r>
              <w:rPr>
                <w:color w:val="000000"/>
                <w:sz w:val="19"/>
                <w:szCs w:val="19"/>
              </w:rPr>
              <w:t>Seguridad (autorización)</w:t>
            </w:r>
          </w:p>
        </w:tc>
        <w:tc>
          <w:tcPr>
            <w:tcW w:w="5700" w:type="dxa"/>
          </w:tcPr>
          <w:p w14:paraId="7A20C36E" w14:textId="77777777" w:rsidR="001522EB" w:rsidRDefault="0013026C">
            <w:r>
              <w:rPr>
                <w:color w:val="000000"/>
                <w:sz w:val="19"/>
                <w:szCs w:val="19"/>
              </w:rPr>
              <w:t>El API Gateway controla el acceso por roles; las respuestas son 401 sin autenticación y 403 sin permiso.</w:t>
            </w:r>
          </w:p>
        </w:tc>
      </w:tr>
      <w:tr w:rsidR="001522EB" w14:paraId="6A0E6D1E" w14:textId="77777777">
        <w:trPr>
          <w:cantSplit/>
          <w:jc w:val="center"/>
        </w:trPr>
        <w:tc>
          <w:tcPr>
            <w:tcW w:w="1000" w:type="dxa"/>
          </w:tcPr>
          <w:p w14:paraId="65B06647" w14:textId="77777777" w:rsidR="001522EB" w:rsidRDefault="0013026C">
            <w:r>
              <w:rPr>
                <w:b/>
                <w:bCs/>
                <w:color w:val="000000"/>
                <w:sz w:val="19"/>
                <w:szCs w:val="19"/>
              </w:rPr>
              <w:t>RNF10</w:t>
            </w:r>
          </w:p>
        </w:tc>
        <w:tc>
          <w:tcPr>
            <w:tcW w:w="2050" w:type="dxa"/>
          </w:tcPr>
          <w:p w14:paraId="3B509273" w14:textId="77777777" w:rsidR="001522EB" w:rsidRDefault="0013026C">
            <w:r>
              <w:rPr>
                <w:color w:val="000000"/>
                <w:sz w:val="19"/>
                <w:szCs w:val="19"/>
              </w:rPr>
              <w:t>Seguridad (comunicación interna)</w:t>
            </w:r>
          </w:p>
        </w:tc>
        <w:tc>
          <w:tcPr>
            <w:tcW w:w="5700" w:type="dxa"/>
          </w:tcPr>
          <w:p w14:paraId="1D0F2BC2" w14:textId="77777777" w:rsidR="001522EB" w:rsidRDefault="0013026C">
            <w:r>
              <w:rPr>
                <w:color w:val="000000"/>
                <w:sz w:val="19"/>
                <w:szCs w:val="19"/>
              </w:rPr>
              <w:t>El gateway se identifica ante los microservicios con un token de servicio leído de variables de entorno, y los microservicios no se exponen directamente al cliente.</w:t>
            </w:r>
          </w:p>
        </w:tc>
      </w:tr>
      <w:tr w:rsidR="001522EB" w14:paraId="4BAE991F" w14:textId="77777777">
        <w:trPr>
          <w:cantSplit/>
          <w:jc w:val="center"/>
        </w:trPr>
        <w:tc>
          <w:tcPr>
            <w:tcW w:w="1000" w:type="dxa"/>
          </w:tcPr>
          <w:p w14:paraId="467D0837" w14:textId="77777777" w:rsidR="001522EB" w:rsidRDefault="0013026C">
            <w:r>
              <w:rPr>
                <w:b/>
                <w:bCs/>
                <w:color w:val="000000"/>
                <w:sz w:val="19"/>
                <w:szCs w:val="19"/>
              </w:rPr>
              <w:t>RNF11</w:t>
            </w:r>
          </w:p>
        </w:tc>
        <w:tc>
          <w:tcPr>
            <w:tcW w:w="2050" w:type="dxa"/>
          </w:tcPr>
          <w:p w14:paraId="45B10A89" w14:textId="77777777" w:rsidR="001522EB" w:rsidRDefault="0013026C">
            <w:r>
              <w:rPr>
                <w:color w:val="000000"/>
                <w:sz w:val="19"/>
                <w:szCs w:val="19"/>
              </w:rPr>
              <w:t>Observabilidad</w:t>
            </w:r>
          </w:p>
        </w:tc>
        <w:tc>
          <w:tcPr>
            <w:tcW w:w="5700" w:type="dxa"/>
          </w:tcPr>
          <w:p w14:paraId="33EDFA78" w14:textId="77777777" w:rsidR="001522EB" w:rsidRDefault="0013026C">
            <w:r>
              <w:rPr>
                <w:color w:val="000000"/>
                <w:sz w:val="19"/>
                <w:szCs w:val="19"/>
              </w:rPr>
              <w:t>Hay logs centralizados, métricas y un identificador de correlación que viaja entre servicios.</w:t>
            </w:r>
          </w:p>
        </w:tc>
      </w:tr>
      <w:tr w:rsidR="001522EB" w14:paraId="4AA7F9D7" w14:textId="77777777">
        <w:trPr>
          <w:cantSplit/>
          <w:jc w:val="center"/>
        </w:trPr>
        <w:tc>
          <w:tcPr>
            <w:tcW w:w="1000" w:type="dxa"/>
          </w:tcPr>
          <w:p w14:paraId="043517B4" w14:textId="77777777" w:rsidR="001522EB" w:rsidRDefault="0013026C">
            <w:r>
              <w:rPr>
                <w:b/>
                <w:bCs/>
                <w:color w:val="000000"/>
                <w:sz w:val="19"/>
                <w:szCs w:val="19"/>
              </w:rPr>
              <w:t>RNF12</w:t>
            </w:r>
          </w:p>
        </w:tc>
        <w:tc>
          <w:tcPr>
            <w:tcW w:w="2050" w:type="dxa"/>
          </w:tcPr>
          <w:p w14:paraId="03DAF4EA" w14:textId="77777777" w:rsidR="001522EB" w:rsidRDefault="0013026C">
            <w:r>
              <w:rPr>
                <w:color w:val="000000"/>
                <w:sz w:val="19"/>
                <w:szCs w:val="19"/>
              </w:rPr>
              <w:t>Tolerancia a fallos</w:t>
            </w:r>
          </w:p>
        </w:tc>
        <w:tc>
          <w:tcPr>
            <w:tcW w:w="5700" w:type="dxa"/>
          </w:tcPr>
          <w:p w14:paraId="01F2620B" w14:textId="77777777" w:rsidR="001522EB" w:rsidRDefault="0013026C">
            <w:r>
              <w:rPr>
                <w:color w:val="000000"/>
                <w:sz w:val="19"/>
                <w:szCs w:val="19"/>
              </w:rPr>
              <w:t xml:space="preserve">La caída de un servicio no detiene a los demás; se usan </w:t>
            </w:r>
            <w:r>
              <w:rPr>
                <w:i/>
                <w:iCs/>
                <w:color w:val="000000"/>
                <w:sz w:val="19"/>
                <w:szCs w:val="19"/>
              </w:rPr>
              <w:t>timeouts</w:t>
            </w:r>
            <w:r>
              <w:rPr>
                <w:color w:val="000000"/>
                <w:sz w:val="19"/>
                <w:szCs w:val="19"/>
              </w:rPr>
              <w:t xml:space="preserve">, reintentos y </w:t>
            </w:r>
            <w:r>
              <w:rPr>
                <w:i/>
                <w:iCs/>
                <w:color w:val="000000"/>
                <w:sz w:val="19"/>
                <w:szCs w:val="19"/>
              </w:rPr>
              <w:t>health checks</w:t>
            </w:r>
            <w:r>
              <w:rPr>
                <w:color w:val="000000"/>
                <w:sz w:val="19"/>
                <w:szCs w:val="19"/>
              </w:rPr>
              <w:t xml:space="preserve"> en Kubernetes.</w:t>
            </w:r>
          </w:p>
        </w:tc>
      </w:tr>
      <w:tr w:rsidR="001522EB" w14:paraId="1BE04249" w14:textId="77777777">
        <w:trPr>
          <w:cantSplit/>
          <w:jc w:val="center"/>
        </w:trPr>
        <w:tc>
          <w:tcPr>
            <w:tcW w:w="1000" w:type="dxa"/>
          </w:tcPr>
          <w:p w14:paraId="29288FA4" w14:textId="77777777" w:rsidR="001522EB" w:rsidRDefault="0013026C">
            <w:r>
              <w:rPr>
                <w:b/>
                <w:bCs/>
                <w:color w:val="000000"/>
                <w:sz w:val="19"/>
                <w:szCs w:val="19"/>
              </w:rPr>
              <w:t>RNF13</w:t>
            </w:r>
          </w:p>
        </w:tc>
        <w:tc>
          <w:tcPr>
            <w:tcW w:w="2050" w:type="dxa"/>
          </w:tcPr>
          <w:p w14:paraId="141B4B97" w14:textId="77777777" w:rsidR="001522EB" w:rsidRDefault="0013026C">
            <w:r>
              <w:rPr>
                <w:color w:val="000000"/>
                <w:sz w:val="19"/>
                <w:szCs w:val="19"/>
              </w:rPr>
              <w:t>Consistencia</w:t>
            </w:r>
          </w:p>
        </w:tc>
        <w:tc>
          <w:tcPr>
            <w:tcW w:w="5700" w:type="dxa"/>
          </w:tcPr>
          <w:p w14:paraId="762F9E7E" w14:textId="77777777" w:rsidR="001522EB" w:rsidRDefault="0013026C">
            <w:r>
              <w:rPr>
                <w:color w:val="000000"/>
                <w:sz w:val="19"/>
                <w:szCs w:val="19"/>
              </w:rPr>
              <w:t>Hay consistencia eventual entre servicios: los cambios que se propagan por eventos (por ejemplo, la recepción de mercancía) se reflejan en los demás servicios con un breve retraso.</w:t>
            </w:r>
          </w:p>
        </w:tc>
      </w:tr>
      <w:tr w:rsidR="001522EB" w14:paraId="173107F6" w14:textId="77777777">
        <w:trPr>
          <w:cantSplit/>
          <w:jc w:val="center"/>
        </w:trPr>
        <w:tc>
          <w:tcPr>
            <w:tcW w:w="1000" w:type="dxa"/>
          </w:tcPr>
          <w:p w14:paraId="055B9D66" w14:textId="77777777" w:rsidR="001522EB" w:rsidRDefault="0013026C">
            <w:r>
              <w:rPr>
                <w:b/>
                <w:bCs/>
                <w:color w:val="000000"/>
                <w:sz w:val="19"/>
                <w:szCs w:val="19"/>
              </w:rPr>
              <w:t>RNF14</w:t>
            </w:r>
          </w:p>
        </w:tc>
        <w:tc>
          <w:tcPr>
            <w:tcW w:w="2050" w:type="dxa"/>
          </w:tcPr>
          <w:p w14:paraId="26B21258" w14:textId="77777777" w:rsidR="001522EB" w:rsidRDefault="0013026C">
            <w:r>
              <w:rPr>
                <w:color w:val="000000"/>
                <w:sz w:val="19"/>
                <w:szCs w:val="19"/>
              </w:rPr>
              <w:t>Mantenibilidad</w:t>
            </w:r>
          </w:p>
        </w:tc>
        <w:tc>
          <w:tcPr>
            <w:tcW w:w="5700" w:type="dxa"/>
          </w:tcPr>
          <w:p w14:paraId="18768DF7" w14:textId="77777777" w:rsidR="001522EB" w:rsidRDefault="0013026C">
            <w:r>
              <w:rPr>
                <w:color w:val="000000"/>
                <w:sz w:val="19"/>
                <w:szCs w:val="19"/>
              </w:rPr>
              <w:t>El código está organizado por capas y tiene pruebas unitarias en la lógica de negocio.</w:t>
            </w:r>
          </w:p>
        </w:tc>
      </w:tr>
      <w:tr w:rsidR="001522EB" w14:paraId="0E386D04" w14:textId="77777777">
        <w:trPr>
          <w:cantSplit/>
          <w:jc w:val="center"/>
        </w:trPr>
        <w:tc>
          <w:tcPr>
            <w:tcW w:w="1000" w:type="dxa"/>
          </w:tcPr>
          <w:p w14:paraId="4F0B29EE" w14:textId="77777777" w:rsidR="001522EB" w:rsidRDefault="0013026C">
            <w:r>
              <w:rPr>
                <w:b/>
                <w:bCs/>
                <w:color w:val="000000"/>
                <w:sz w:val="19"/>
                <w:szCs w:val="19"/>
              </w:rPr>
              <w:t>RNF15</w:t>
            </w:r>
          </w:p>
        </w:tc>
        <w:tc>
          <w:tcPr>
            <w:tcW w:w="2050" w:type="dxa"/>
          </w:tcPr>
          <w:p w14:paraId="7A5466D3" w14:textId="77777777" w:rsidR="001522EB" w:rsidRDefault="0013026C">
            <w:r>
              <w:rPr>
                <w:color w:val="000000"/>
                <w:sz w:val="19"/>
                <w:szCs w:val="19"/>
              </w:rPr>
              <w:t>Usabilidad</w:t>
            </w:r>
          </w:p>
        </w:tc>
        <w:tc>
          <w:tcPr>
            <w:tcW w:w="5700" w:type="dxa"/>
          </w:tcPr>
          <w:p w14:paraId="12F9A4EA" w14:textId="77777777" w:rsidR="001522EB" w:rsidRDefault="0013026C">
            <w:r>
              <w:rPr>
                <w:color w:val="000000"/>
                <w:sz w:val="19"/>
                <w:szCs w:val="19"/>
              </w:rPr>
              <w:t xml:space="preserve">La interfaz web es </w:t>
            </w:r>
            <w:r>
              <w:rPr>
                <w:i/>
                <w:iCs/>
                <w:color w:val="000000"/>
                <w:sz w:val="19"/>
                <w:szCs w:val="19"/>
              </w:rPr>
              <w:t>responsive</w:t>
            </w:r>
            <w:r>
              <w:rPr>
                <w:color w:val="000000"/>
                <w:sz w:val="19"/>
                <w:szCs w:val="19"/>
              </w:rPr>
              <w:t xml:space="preserve"> y fácil de usar para usuarios no técnicos.</w:t>
            </w:r>
          </w:p>
        </w:tc>
      </w:tr>
      <w:tr w:rsidR="001522EB" w14:paraId="6D94F309" w14:textId="77777777">
        <w:trPr>
          <w:cantSplit/>
          <w:jc w:val="center"/>
        </w:trPr>
        <w:tc>
          <w:tcPr>
            <w:tcW w:w="1000" w:type="dxa"/>
          </w:tcPr>
          <w:p w14:paraId="25BAFB49" w14:textId="77777777" w:rsidR="001522EB" w:rsidRDefault="0013026C">
            <w:r>
              <w:rPr>
                <w:b/>
                <w:bCs/>
                <w:color w:val="000000"/>
                <w:sz w:val="19"/>
                <w:szCs w:val="19"/>
              </w:rPr>
              <w:t>RNF16</w:t>
            </w:r>
          </w:p>
        </w:tc>
        <w:tc>
          <w:tcPr>
            <w:tcW w:w="2050" w:type="dxa"/>
          </w:tcPr>
          <w:p w14:paraId="1146E847" w14:textId="77777777" w:rsidR="001522EB" w:rsidRDefault="0013026C">
            <w:r>
              <w:rPr>
                <w:color w:val="000000"/>
                <w:sz w:val="19"/>
                <w:szCs w:val="19"/>
              </w:rPr>
              <w:t>Control de versiones</w:t>
            </w:r>
          </w:p>
        </w:tc>
        <w:tc>
          <w:tcPr>
            <w:tcW w:w="5700" w:type="dxa"/>
          </w:tcPr>
          <w:p w14:paraId="6849AD94" w14:textId="77777777" w:rsidR="001522EB" w:rsidRDefault="0013026C">
            <w:r>
              <w:rPr>
                <w:color w:val="000000"/>
                <w:sz w:val="19"/>
                <w:szCs w:val="19"/>
              </w:rPr>
              <w:t xml:space="preserve">Se trabaja en GitHub con ramas, </w:t>
            </w:r>
            <w:r>
              <w:rPr>
                <w:i/>
                <w:iCs/>
                <w:color w:val="000000"/>
                <w:sz w:val="19"/>
                <w:szCs w:val="19"/>
              </w:rPr>
              <w:t>pull requests</w:t>
            </w:r>
            <w:r>
              <w:rPr>
                <w:color w:val="000000"/>
                <w:sz w:val="19"/>
                <w:szCs w:val="19"/>
              </w:rPr>
              <w:t xml:space="preserve"> e integración continua, y queda evidencia de la actividad individual de cada integrante.</w:t>
            </w:r>
          </w:p>
        </w:tc>
      </w:tr>
      <w:tr w:rsidR="001522EB" w14:paraId="44ACFF04" w14:textId="77777777">
        <w:trPr>
          <w:cantSplit/>
          <w:jc w:val="center"/>
        </w:trPr>
        <w:tc>
          <w:tcPr>
            <w:tcW w:w="1000" w:type="dxa"/>
          </w:tcPr>
          <w:p w14:paraId="063C8C2C" w14:textId="77777777" w:rsidR="001522EB" w:rsidRDefault="0013026C">
            <w:r>
              <w:rPr>
                <w:b/>
                <w:bCs/>
                <w:color w:val="000000"/>
                <w:sz w:val="19"/>
                <w:szCs w:val="19"/>
              </w:rPr>
              <w:t>RNF17</w:t>
            </w:r>
          </w:p>
        </w:tc>
        <w:tc>
          <w:tcPr>
            <w:tcW w:w="2050" w:type="dxa"/>
          </w:tcPr>
          <w:p w14:paraId="5BDA16AD" w14:textId="77777777" w:rsidR="001522EB" w:rsidRDefault="0013026C">
            <w:r>
              <w:rPr>
                <w:color w:val="000000"/>
                <w:sz w:val="19"/>
                <w:szCs w:val="19"/>
              </w:rPr>
              <w:t>Pruebas de rendimiento</w:t>
            </w:r>
          </w:p>
        </w:tc>
        <w:tc>
          <w:tcPr>
            <w:tcW w:w="5700" w:type="dxa"/>
          </w:tcPr>
          <w:p w14:paraId="58A4C882" w14:textId="77777777" w:rsidR="001522EB" w:rsidRDefault="0013026C">
            <w:r>
              <w:rPr>
                <w:color w:val="000000"/>
                <w:sz w:val="19"/>
                <w:szCs w:val="19"/>
              </w:rPr>
              <w:t>Cada integrante define y ejecuta al menos quince pruebas de rendimiento sobre endpoints que él mismo elige, en escenarios de carga normal, carga pico y estrés, midiendo tiempo de respuesta, throughput y tasa de error.</w:t>
            </w:r>
          </w:p>
        </w:tc>
      </w:tr>
      <w:tr w:rsidR="001522EB" w14:paraId="3A56A02C" w14:textId="77777777">
        <w:trPr>
          <w:cantSplit/>
          <w:jc w:val="center"/>
        </w:trPr>
        <w:tc>
          <w:tcPr>
            <w:tcW w:w="1000" w:type="dxa"/>
          </w:tcPr>
          <w:p w14:paraId="3BC0037C" w14:textId="77777777" w:rsidR="001522EB" w:rsidRDefault="0013026C">
            <w:r>
              <w:rPr>
                <w:b/>
                <w:bCs/>
                <w:color w:val="000000"/>
                <w:sz w:val="19"/>
                <w:szCs w:val="19"/>
              </w:rPr>
              <w:t>RNF18</w:t>
            </w:r>
          </w:p>
        </w:tc>
        <w:tc>
          <w:tcPr>
            <w:tcW w:w="2050" w:type="dxa"/>
          </w:tcPr>
          <w:p w14:paraId="50528D61" w14:textId="77777777" w:rsidR="001522EB" w:rsidRDefault="0013026C">
            <w:r>
              <w:rPr>
                <w:color w:val="000000"/>
                <w:sz w:val="19"/>
                <w:szCs w:val="19"/>
              </w:rPr>
              <w:t>Portabilidad</w:t>
            </w:r>
          </w:p>
        </w:tc>
        <w:tc>
          <w:tcPr>
            <w:tcW w:w="5700" w:type="dxa"/>
          </w:tcPr>
          <w:p w14:paraId="0A069A35" w14:textId="77777777" w:rsidR="001522EB" w:rsidRDefault="0013026C">
            <w:r>
              <w:rPr>
                <w:color w:val="000000"/>
                <w:sz w:val="19"/>
                <w:szCs w:val="19"/>
              </w:rPr>
              <w:t>Gracias a la contenerización, el sistema se puede desplegar en cualquier entorno compatible con Docker y Kubernetes sin cambiar el código fuente.</w:t>
            </w:r>
          </w:p>
        </w:tc>
      </w:tr>
      <w:tr w:rsidR="001522EB" w14:paraId="17B49B03" w14:textId="77777777">
        <w:trPr>
          <w:cantSplit/>
          <w:jc w:val="center"/>
        </w:trPr>
        <w:tc>
          <w:tcPr>
            <w:tcW w:w="1000" w:type="dxa"/>
          </w:tcPr>
          <w:p w14:paraId="284B8550" w14:textId="77777777" w:rsidR="001522EB" w:rsidRDefault="0013026C">
            <w:r>
              <w:rPr>
                <w:b/>
                <w:bCs/>
                <w:color w:val="000000"/>
                <w:sz w:val="19"/>
                <w:szCs w:val="19"/>
              </w:rPr>
              <w:t>RNF19</w:t>
            </w:r>
          </w:p>
        </w:tc>
        <w:tc>
          <w:tcPr>
            <w:tcW w:w="2050" w:type="dxa"/>
          </w:tcPr>
          <w:p w14:paraId="744612EB" w14:textId="77777777" w:rsidR="001522EB" w:rsidRDefault="0013026C">
            <w:r>
              <w:rPr>
                <w:color w:val="000000"/>
                <w:sz w:val="19"/>
                <w:szCs w:val="19"/>
              </w:rPr>
              <w:t>Tecnologías permitidas</w:t>
            </w:r>
          </w:p>
        </w:tc>
        <w:tc>
          <w:tcPr>
            <w:tcW w:w="5700" w:type="dxa"/>
          </w:tcPr>
          <w:p w14:paraId="3F50BECD" w14:textId="77777777" w:rsidR="001522EB" w:rsidRDefault="0013026C">
            <w:r>
              <w:rPr>
                <w:color w:val="000000"/>
                <w:sz w:val="19"/>
                <w:szCs w:val="19"/>
              </w:rPr>
              <w:t>Solo se usan los lenguajes, frameworks, bases de datos y herramientas vistos y trabajados en clase.</w:t>
            </w:r>
          </w:p>
        </w:tc>
      </w:tr>
      <w:tr w:rsidR="001522EB" w14:paraId="44AB214B" w14:textId="77777777">
        <w:trPr>
          <w:cantSplit/>
          <w:jc w:val="center"/>
        </w:trPr>
        <w:tc>
          <w:tcPr>
            <w:tcW w:w="1000" w:type="dxa"/>
          </w:tcPr>
          <w:p w14:paraId="06AB8215" w14:textId="77777777" w:rsidR="001522EB" w:rsidRDefault="0013026C">
            <w:pPr>
              <w:keepNext/>
            </w:pPr>
            <w:r>
              <w:rPr>
                <w:b/>
                <w:bCs/>
                <w:color w:val="000000"/>
                <w:sz w:val="19"/>
                <w:szCs w:val="19"/>
              </w:rPr>
              <w:t>RNF20</w:t>
            </w:r>
          </w:p>
        </w:tc>
        <w:tc>
          <w:tcPr>
            <w:tcW w:w="2050" w:type="dxa"/>
          </w:tcPr>
          <w:p w14:paraId="7CAA17BF" w14:textId="77777777" w:rsidR="001522EB" w:rsidRDefault="0013026C">
            <w:pPr>
              <w:keepNext/>
            </w:pPr>
            <w:r>
              <w:rPr>
                <w:color w:val="000000"/>
                <w:sz w:val="19"/>
                <w:szCs w:val="19"/>
              </w:rPr>
              <w:t>Uso documentado de IA</w:t>
            </w:r>
          </w:p>
        </w:tc>
        <w:tc>
          <w:tcPr>
            <w:tcW w:w="5700" w:type="dxa"/>
          </w:tcPr>
          <w:p w14:paraId="245DFC77" w14:textId="77777777" w:rsidR="001522EB" w:rsidRDefault="0013026C">
            <w:pPr>
              <w:keepNext/>
            </w:pPr>
            <w:r>
              <w:rPr>
                <w:color w:val="000000"/>
                <w:sz w:val="19"/>
                <w:szCs w:val="19"/>
              </w:rPr>
              <w:t>El uso de herramientas de IA se registra en una bitácora por fase, y cada integrante debe poder sustentar lo generado con su apoyo.</w:t>
            </w:r>
          </w:p>
        </w:tc>
      </w:tr>
    </w:tbl>
    <w:p w14:paraId="74291FB2" w14:textId="77777777" w:rsidR="001522EB" w:rsidRDefault="0013026C">
      <w:pPr>
        <w:spacing w:before="60" w:after="240" w:line="240" w:lineRule="auto"/>
      </w:pPr>
      <w:r>
        <w:rPr>
          <w:color w:val="000000"/>
          <w:sz w:val="18"/>
          <w:szCs w:val="18"/>
        </w:rPr>
        <w:t>Fuente: elaboración propia con base en la sección 8.2 del enunciado del proyecto.</w:t>
      </w:r>
    </w:p>
    <w:p w14:paraId="68B1ED9E" w14:textId="77777777" w:rsidR="001522EB" w:rsidRDefault="0013026C">
      <w:pPr>
        <w:pStyle w:val="Ttulo1"/>
        <w:pageBreakBefore/>
        <w:numPr>
          <w:ilvl w:val="0"/>
          <w:numId w:val="3"/>
        </w:numPr>
      </w:pPr>
      <w:bookmarkStart w:id="16" w:name="_Toc243333073"/>
      <w:r>
        <w:t>Justificación técnica de la arquitectura de microservicios</w:t>
      </w:r>
      <w:bookmarkEnd w:id="16"/>
    </w:p>
    <w:p w14:paraId="0CF5AD47" w14:textId="77777777" w:rsidR="001522EB" w:rsidRDefault="0013026C">
      <w:pPr>
        <w:pStyle w:val="Ttulo2"/>
        <w:numPr>
          <w:ilvl w:val="1"/>
          <w:numId w:val="3"/>
        </w:numPr>
      </w:pPr>
      <w:bookmarkStart w:id="17" w:name="_Toc243333074"/>
      <w:r>
        <w:t>Contexto y criterios de comparación</w:t>
      </w:r>
      <w:bookmarkEnd w:id="17"/>
    </w:p>
    <w:p w14:paraId="48053F54" w14:textId="77777777" w:rsidR="001522EB" w:rsidRDefault="0013026C">
      <w:pPr>
        <w:spacing w:after="240" w:line="360" w:lineRule="auto"/>
        <w:jc w:val="both"/>
      </w:pPr>
      <w:r>
        <w:rPr>
          <w:color w:val="000000"/>
        </w:rPr>
        <w:t>El sistema se dirige a un supermercado mediano (PYME) con varios miles de referencias, varias bodegas, movimiento diario de mercancía y cuatro perfiles de usuario. Su alcance excluye ventas, facturación y contabilidad, e incluye un API Gateway propio, contenedores Docker y Kubernetes. Lo desarrolla un equipo de tres integrantes.</w:t>
      </w:r>
    </w:p>
    <w:p w14:paraId="0C5B5EBF" w14:textId="77777777" w:rsidR="001522EB" w:rsidRDefault="0013026C">
      <w:pPr>
        <w:spacing w:after="240" w:line="360" w:lineRule="auto"/>
        <w:jc w:val="both"/>
      </w:pPr>
      <w:r>
        <w:rPr>
          <w:color w:val="000000"/>
        </w:rPr>
        <w:t>Los criterios para comparar ambas arquitecturas son los que fija el enunciado del proyecto: escalabilidad, mantenibilidad, despliegue independiente, tolerancia a fallos y organización de equipos. A ellos se suman la consistencia de datos, el rendimiento y la complejidad operativa.</w:t>
      </w:r>
    </w:p>
    <w:p w14:paraId="284E8813" w14:textId="77777777" w:rsidR="001522EB" w:rsidRDefault="0013026C">
      <w:pPr>
        <w:pStyle w:val="Ttulo2"/>
        <w:numPr>
          <w:ilvl w:val="1"/>
          <w:numId w:val="3"/>
        </w:numPr>
      </w:pPr>
      <w:bookmarkStart w:id="18" w:name="_Toc243333075"/>
      <w:r>
        <w:t>Arquitectura monolítica y arquitectura de microservicios</w:t>
      </w:r>
      <w:bookmarkEnd w:id="18"/>
    </w:p>
    <w:p w14:paraId="67C70DB4" w14:textId="77777777" w:rsidR="001522EB" w:rsidRDefault="0013026C">
      <w:pPr>
        <w:spacing w:after="240" w:line="360" w:lineRule="auto"/>
        <w:jc w:val="both"/>
      </w:pPr>
      <w:r>
        <w:rPr>
          <w:color w:val="000000"/>
        </w:rPr>
        <w:t xml:space="preserve">Una aplicación monolítica se construye como una sola unidad: su parte servidor es un único ejecutable lógico, y cualquier cambio exige construir y desplegar una nueva versión completa. Puede escalar horizontalmente ejecutando varias instancias detrás de un balanceador (Lewis y Fowler, 2014). Un sistema de microservicios se compone, en cambio, de servicios pequeños, cada uno en su propio proceso, organizados en torno a capacidades de negocio, con despliegue independiente automatizado y comunicación mediante </w:t>
      </w:r>
      <w:r>
        <w:rPr>
          <w:color w:val="000000"/>
        </w:rPr>
        <w:t>mecanismos ligeros como una API HTTP (Lewis y Fowler, 2014).</w:t>
      </w:r>
    </w:p>
    <w:p w14:paraId="5A659332" w14:textId="77777777" w:rsidR="001522EB" w:rsidRDefault="0013026C">
      <w:pPr>
        <w:pStyle w:val="Ttulo2"/>
        <w:numPr>
          <w:ilvl w:val="1"/>
          <w:numId w:val="3"/>
        </w:numPr>
      </w:pPr>
      <w:bookmarkStart w:id="19" w:name="_Toc243333076"/>
      <w:r>
        <w:t>Comparación de las arquitecturas</w:t>
      </w:r>
      <w:bookmarkEnd w:id="19"/>
    </w:p>
    <w:p w14:paraId="05CCD915" w14:textId="77777777" w:rsidR="001522EB" w:rsidRDefault="0013026C">
      <w:pPr>
        <w:spacing w:after="240" w:line="360" w:lineRule="auto"/>
        <w:jc w:val="both"/>
      </w:pPr>
      <w:r>
        <w:rPr>
          <w:color w:val="000000"/>
        </w:rPr>
        <w:t>La Tabla 5 compara ambas arquitecturas según los criterios anteriores e indica qué implica cada criterio para este proyecto.</w:t>
      </w:r>
    </w:p>
    <w:p w14:paraId="1EB0AE08" w14:textId="77777777" w:rsidR="001522EB" w:rsidRDefault="0013026C">
      <w:pPr>
        <w:keepNext/>
        <w:tabs>
          <w:tab w:val="left" w:pos="1134"/>
        </w:tabs>
        <w:spacing w:before="240" w:after="120" w:line="240" w:lineRule="auto"/>
        <w:ind w:left="1134" w:hanging="1134"/>
      </w:pPr>
      <w:r>
        <w:rPr>
          <w:b/>
          <w:bCs/>
          <w:color w:val="000000"/>
        </w:rPr>
        <w:t>Tabla 5:</w:t>
      </w:r>
      <w:r>
        <w:tab/>
      </w:r>
      <w:r>
        <w:rPr>
          <w:color w:val="000000"/>
        </w:rPr>
        <w:t>Comparación entre la arquitectura monolítica y la de microservicios.</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1450"/>
        <w:gridCol w:w="2400"/>
        <w:gridCol w:w="2750"/>
        <w:gridCol w:w="2150"/>
      </w:tblGrid>
      <w:tr w:rsidR="001522EB" w14:paraId="6FBCB517" w14:textId="77777777">
        <w:trPr>
          <w:cantSplit/>
          <w:tblHeader/>
          <w:jc w:val="center"/>
        </w:trPr>
        <w:tc>
          <w:tcPr>
            <w:tcW w:w="1450" w:type="dxa"/>
            <w:shd w:val="clear" w:color="auto" w:fill="D9D9D9"/>
            <w:vAlign w:val="center"/>
          </w:tcPr>
          <w:p w14:paraId="7B11339B" w14:textId="77777777" w:rsidR="001522EB" w:rsidRDefault="0013026C">
            <w:pPr>
              <w:jc w:val="center"/>
            </w:pPr>
            <w:r>
              <w:rPr>
                <w:b/>
                <w:bCs/>
                <w:color w:val="000000"/>
                <w:sz w:val="17"/>
                <w:szCs w:val="17"/>
              </w:rPr>
              <w:t>Criterio</w:t>
            </w:r>
          </w:p>
        </w:tc>
        <w:tc>
          <w:tcPr>
            <w:tcW w:w="2400" w:type="dxa"/>
            <w:shd w:val="clear" w:color="auto" w:fill="D9D9D9"/>
            <w:vAlign w:val="center"/>
          </w:tcPr>
          <w:p w14:paraId="5DF5C52E" w14:textId="77777777" w:rsidR="001522EB" w:rsidRDefault="0013026C">
            <w:pPr>
              <w:jc w:val="center"/>
            </w:pPr>
            <w:r>
              <w:rPr>
                <w:b/>
                <w:bCs/>
                <w:color w:val="000000"/>
                <w:sz w:val="17"/>
                <w:szCs w:val="17"/>
              </w:rPr>
              <w:t>Arquitectura monolítica</w:t>
            </w:r>
          </w:p>
        </w:tc>
        <w:tc>
          <w:tcPr>
            <w:tcW w:w="2750" w:type="dxa"/>
            <w:shd w:val="clear" w:color="auto" w:fill="D9D9D9"/>
            <w:vAlign w:val="center"/>
          </w:tcPr>
          <w:p w14:paraId="389A69ED" w14:textId="77777777" w:rsidR="001522EB" w:rsidRDefault="0013026C">
            <w:pPr>
              <w:jc w:val="center"/>
            </w:pPr>
            <w:r>
              <w:rPr>
                <w:b/>
                <w:bCs/>
                <w:color w:val="000000"/>
                <w:sz w:val="17"/>
                <w:szCs w:val="17"/>
              </w:rPr>
              <w:t>Arquitectura de microservicios</w:t>
            </w:r>
          </w:p>
        </w:tc>
        <w:tc>
          <w:tcPr>
            <w:tcW w:w="2150" w:type="dxa"/>
            <w:shd w:val="clear" w:color="auto" w:fill="D9D9D9"/>
            <w:vAlign w:val="center"/>
          </w:tcPr>
          <w:p w14:paraId="16DE7860" w14:textId="77777777" w:rsidR="001522EB" w:rsidRDefault="0013026C">
            <w:pPr>
              <w:jc w:val="center"/>
            </w:pPr>
            <w:r>
              <w:rPr>
                <w:b/>
                <w:bCs/>
                <w:color w:val="000000"/>
                <w:sz w:val="17"/>
                <w:szCs w:val="17"/>
              </w:rPr>
              <w:t>Implicación para el proyecto</w:t>
            </w:r>
          </w:p>
        </w:tc>
      </w:tr>
      <w:tr w:rsidR="001522EB" w14:paraId="2E38BBA6" w14:textId="77777777">
        <w:trPr>
          <w:cantSplit/>
          <w:jc w:val="center"/>
        </w:trPr>
        <w:tc>
          <w:tcPr>
            <w:tcW w:w="1450" w:type="dxa"/>
          </w:tcPr>
          <w:p w14:paraId="357C38BB" w14:textId="77777777" w:rsidR="001522EB" w:rsidRDefault="0013026C">
            <w:r>
              <w:rPr>
                <w:b/>
                <w:bCs/>
                <w:color w:val="000000"/>
                <w:sz w:val="17"/>
                <w:szCs w:val="17"/>
              </w:rPr>
              <w:t>Despliegue</w:t>
            </w:r>
          </w:p>
        </w:tc>
        <w:tc>
          <w:tcPr>
            <w:tcW w:w="2400" w:type="dxa"/>
          </w:tcPr>
          <w:p w14:paraId="79991DB2" w14:textId="77777777" w:rsidR="001522EB" w:rsidRDefault="0013026C">
            <w:r>
              <w:rPr>
                <w:color w:val="000000"/>
                <w:sz w:val="17"/>
                <w:szCs w:val="17"/>
              </w:rPr>
              <w:t>Un cambio pequeño obliga a reconstruir y desplegar toda la aplicación (Lewis y Fowler, 2014).</w:t>
            </w:r>
          </w:p>
        </w:tc>
        <w:tc>
          <w:tcPr>
            <w:tcW w:w="2750" w:type="dxa"/>
          </w:tcPr>
          <w:p w14:paraId="0215259C" w14:textId="77777777" w:rsidR="001522EB" w:rsidRDefault="0013026C">
            <w:r>
              <w:rPr>
                <w:color w:val="000000"/>
                <w:sz w:val="17"/>
                <w:szCs w:val="17"/>
              </w:rPr>
              <w:t>Cada servicio se actualiza y se revierte sin redesplegar el resto (Microsoft, 2025).</w:t>
            </w:r>
          </w:p>
        </w:tc>
        <w:tc>
          <w:tcPr>
            <w:tcW w:w="2150" w:type="dxa"/>
          </w:tcPr>
          <w:p w14:paraId="0050938A" w14:textId="77777777" w:rsidR="001522EB" w:rsidRDefault="0013026C">
            <w:r>
              <w:rPr>
                <w:color w:val="000000"/>
                <w:sz w:val="17"/>
                <w:szCs w:val="17"/>
              </w:rPr>
              <w:t>RNF06: desplegar cada servicio sin afectar a los demás.</w:t>
            </w:r>
          </w:p>
        </w:tc>
      </w:tr>
      <w:tr w:rsidR="001522EB" w14:paraId="72BEE913" w14:textId="77777777">
        <w:trPr>
          <w:cantSplit/>
          <w:jc w:val="center"/>
        </w:trPr>
        <w:tc>
          <w:tcPr>
            <w:tcW w:w="1450" w:type="dxa"/>
          </w:tcPr>
          <w:p w14:paraId="5183A7B7" w14:textId="77777777" w:rsidR="001522EB" w:rsidRDefault="0013026C">
            <w:r>
              <w:rPr>
                <w:b/>
                <w:bCs/>
                <w:color w:val="000000"/>
                <w:sz w:val="17"/>
                <w:szCs w:val="17"/>
              </w:rPr>
              <w:t>Escalabilidad</w:t>
            </w:r>
          </w:p>
        </w:tc>
        <w:tc>
          <w:tcPr>
            <w:tcW w:w="2400" w:type="dxa"/>
          </w:tcPr>
          <w:p w14:paraId="42C5EDF3" w14:textId="77777777" w:rsidR="001522EB" w:rsidRDefault="0013026C">
            <w:r>
              <w:rPr>
                <w:color w:val="000000"/>
                <w:sz w:val="17"/>
                <w:szCs w:val="17"/>
              </w:rPr>
              <w:t>Escalar exige replicar toda la aplicación (Lewis y Fowler, 2014).</w:t>
            </w:r>
          </w:p>
        </w:tc>
        <w:tc>
          <w:tcPr>
            <w:tcW w:w="2750" w:type="dxa"/>
          </w:tcPr>
          <w:p w14:paraId="3E464E48" w14:textId="77777777" w:rsidR="001522EB" w:rsidRDefault="0013026C">
            <w:r>
              <w:rPr>
                <w:color w:val="000000"/>
                <w:sz w:val="17"/>
                <w:szCs w:val="17"/>
              </w:rPr>
              <w:t>Se escalan solo los subsistemas que necesitan más recursos (Microsoft, 2025). Fowler (2015a) duda de que esto sea siempre más eficiente que replicar el monolito completo.</w:t>
            </w:r>
          </w:p>
        </w:tc>
        <w:tc>
          <w:tcPr>
            <w:tcW w:w="2150" w:type="dxa"/>
          </w:tcPr>
          <w:p w14:paraId="2A35F32E" w14:textId="77777777" w:rsidR="001522EB" w:rsidRDefault="0013026C">
            <w:r>
              <w:rPr>
                <w:color w:val="000000"/>
                <w:sz w:val="17"/>
                <w:szCs w:val="17"/>
              </w:rPr>
              <w:t>RNF05: escalar ms</w:t>
            </w:r>
            <w:r>
              <w:rPr>
                <w:color w:val="000000"/>
                <w:sz w:val="17"/>
                <w:szCs w:val="17"/>
              </w:rPr>
              <w:noBreakHyphen/>
              <w:t>inventario sin escalar el catálogo.</w:t>
            </w:r>
          </w:p>
        </w:tc>
      </w:tr>
      <w:tr w:rsidR="001522EB" w14:paraId="01EAF481" w14:textId="77777777">
        <w:trPr>
          <w:cantSplit/>
          <w:jc w:val="center"/>
        </w:trPr>
        <w:tc>
          <w:tcPr>
            <w:tcW w:w="1450" w:type="dxa"/>
          </w:tcPr>
          <w:p w14:paraId="2100750A" w14:textId="77777777" w:rsidR="001522EB" w:rsidRDefault="0013026C">
            <w:r>
              <w:rPr>
                <w:b/>
                <w:bCs/>
                <w:color w:val="000000"/>
                <w:sz w:val="17"/>
                <w:szCs w:val="17"/>
              </w:rPr>
              <w:t>Tolerancia a fallos</w:t>
            </w:r>
          </w:p>
        </w:tc>
        <w:tc>
          <w:tcPr>
            <w:tcW w:w="2400" w:type="dxa"/>
          </w:tcPr>
          <w:p w14:paraId="2996D348" w14:textId="77777777" w:rsidR="001522EB" w:rsidRDefault="0013026C">
            <w:r>
              <w:rPr>
                <w:color w:val="000000"/>
                <w:sz w:val="17"/>
                <w:szCs w:val="17"/>
              </w:rPr>
              <w:t>Cualquier cambio obliga a reiniciar toda la aplicación (Dragoni et al., 2017), y una falla en un módulo puede afectar a todo el proceso.</w:t>
            </w:r>
          </w:p>
        </w:tc>
        <w:tc>
          <w:tcPr>
            <w:tcW w:w="2750" w:type="dxa"/>
          </w:tcPr>
          <w:p w14:paraId="1A34320C" w14:textId="77777777" w:rsidR="001522EB" w:rsidRDefault="0013026C">
            <w:r>
              <w:rPr>
                <w:color w:val="000000"/>
                <w:sz w:val="17"/>
                <w:szCs w:val="17"/>
              </w:rPr>
              <w:t>La caída de un servicio no interrumpe al resto si los demás manejan bien el fallo (circuit breaker, mensajería asíncrona) (Microsoft, 2025).</w:t>
            </w:r>
          </w:p>
        </w:tc>
        <w:tc>
          <w:tcPr>
            <w:tcW w:w="2150" w:type="dxa"/>
          </w:tcPr>
          <w:p w14:paraId="5F70B55F" w14:textId="77777777" w:rsidR="001522EB" w:rsidRDefault="0013026C">
            <w:r>
              <w:rPr>
                <w:color w:val="000000"/>
                <w:sz w:val="17"/>
                <w:szCs w:val="17"/>
              </w:rPr>
              <w:t>RNF12: la caída de notificaciones o reportes no detiene el inventario.</w:t>
            </w:r>
          </w:p>
        </w:tc>
      </w:tr>
      <w:tr w:rsidR="001522EB" w14:paraId="14EC125E" w14:textId="77777777">
        <w:trPr>
          <w:cantSplit/>
          <w:jc w:val="center"/>
        </w:trPr>
        <w:tc>
          <w:tcPr>
            <w:tcW w:w="1450" w:type="dxa"/>
          </w:tcPr>
          <w:p w14:paraId="2DB29710" w14:textId="77777777" w:rsidR="001522EB" w:rsidRDefault="0013026C">
            <w:r>
              <w:rPr>
                <w:b/>
                <w:bCs/>
                <w:color w:val="000000"/>
                <w:sz w:val="17"/>
                <w:szCs w:val="17"/>
              </w:rPr>
              <w:t>Modularidad</w:t>
            </w:r>
          </w:p>
        </w:tc>
        <w:tc>
          <w:tcPr>
            <w:tcW w:w="2400" w:type="dxa"/>
          </w:tcPr>
          <w:p w14:paraId="3759FC02" w14:textId="77777777" w:rsidR="001522EB" w:rsidRDefault="0013026C">
            <w:r>
              <w:rPr>
                <w:color w:val="000000"/>
                <w:sz w:val="17"/>
                <w:szCs w:val="17"/>
              </w:rPr>
              <w:t>Es posible, pero requiere disciplina; en la práctica es fácil sortear las barreras entre módulos (Fowler, 2015a).</w:t>
            </w:r>
          </w:p>
        </w:tc>
        <w:tc>
          <w:tcPr>
            <w:tcW w:w="2750" w:type="dxa"/>
          </w:tcPr>
          <w:p w14:paraId="1225B63D" w14:textId="77777777" w:rsidR="001522EB" w:rsidRDefault="0013026C">
            <w:r>
              <w:rPr>
                <w:color w:val="000000"/>
                <w:sz w:val="17"/>
                <w:szCs w:val="17"/>
              </w:rPr>
              <w:t>Los límites entre servicios son más firmes, lo que ayuda sobre todo a equipos grandes (Fowler, 2015a).</w:t>
            </w:r>
          </w:p>
        </w:tc>
        <w:tc>
          <w:tcPr>
            <w:tcW w:w="2150" w:type="dxa"/>
          </w:tcPr>
          <w:p w14:paraId="4BCD1003" w14:textId="77777777" w:rsidR="001522EB" w:rsidRDefault="0013026C">
            <w:r>
              <w:rPr>
                <w:color w:val="000000"/>
                <w:sz w:val="17"/>
                <w:szCs w:val="17"/>
              </w:rPr>
              <w:t>Contextos delimitados de DDD reforzados por límites físicos.</w:t>
            </w:r>
          </w:p>
        </w:tc>
      </w:tr>
      <w:tr w:rsidR="001522EB" w14:paraId="58A2AB88" w14:textId="77777777">
        <w:trPr>
          <w:cantSplit/>
          <w:jc w:val="center"/>
        </w:trPr>
        <w:tc>
          <w:tcPr>
            <w:tcW w:w="1450" w:type="dxa"/>
          </w:tcPr>
          <w:p w14:paraId="3F895A5E" w14:textId="77777777" w:rsidR="001522EB" w:rsidRDefault="0013026C">
            <w:r>
              <w:rPr>
                <w:b/>
                <w:bCs/>
                <w:color w:val="000000"/>
                <w:sz w:val="17"/>
                <w:szCs w:val="17"/>
              </w:rPr>
              <w:t>Datos y consistencia</w:t>
            </w:r>
          </w:p>
        </w:tc>
        <w:tc>
          <w:tcPr>
            <w:tcW w:w="2400" w:type="dxa"/>
          </w:tcPr>
          <w:p w14:paraId="135CA729" w14:textId="77777777" w:rsidR="001522EB" w:rsidRDefault="0013026C">
            <w:r>
              <w:rPr>
                <w:color w:val="000000"/>
                <w:sz w:val="17"/>
                <w:szCs w:val="17"/>
              </w:rPr>
              <w:t>Una sola transacción actualiza varios elementos a la vez (Fowler, 2015a).</w:t>
            </w:r>
          </w:p>
        </w:tc>
        <w:tc>
          <w:tcPr>
            <w:tcW w:w="2750" w:type="dxa"/>
          </w:tcPr>
          <w:p w14:paraId="64858FA8" w14:textId="77777777" w:rsidR="001522EB" w:rsidRDefault="0013026C">
            <w:r>
              <w:rPr>
                <w:color w:val="000000"/>
                <w:sz w:val="17"/>
                <w:szCs w:val="17"/>
              </w:rPr>
              <w:t>Cada servicio posee sus datos; se pierde la transacción ACID entre servicios y se debe aceptar consistencia eventual (Microsoft, 2025).</w:t>
            </w:r>
          </w:p>
        </w:tc>
        <w:tc>
          <w:tcPr>
            <w:tcW w:w="2150" w:type="dxa"/>
          </w:tcPr>
          <w:p w14:paraId="72E50FF9" w14:textId="77777777" w:rsidR="001522EB" w:rsidRDefault="0013026C">
            <w:r>
              <w:rPr>
                <w:color w:val="000000"/>
                <w:sz w:val="17"/>
                <w:szCs w:val="17"/>
              </w:rPr>
              <w:t>RNF02 y RNF13: base de datos por servicio y consistencia eventual.</w:t>
            </w:r>
          </w:p>
        </w:tc>
      </w:tr>
      <w:tr w:rsidR="001522EB" w14:paraId="4F99E3F5" w14:textId="77777777">
        <w:trPr>
          <w:cantSplit/>
          <w:jc w:val="center"/>
        </w:trPr>
        <w:tc>
          <w:tcPr>
            <w:tcW w:w="1450" w:type="dxa"/>
          </w:tcPr>
          <w:p w14:paraId="739B65C8" w14:textId="77777777" w:rsidR="001522EB" w:rsidRDefault="0013026C">
            <w:r>
              <w:rPr>
                <w:b/>
                <w:bCs/>
                <w:color w:val="000000"/>
                <w:sz w:val="17"/>
                <w:szCs w:val="17"/>
              </w:rPr>
              <w:t>Complejidad operativa</w:t>
            </w:r>
          </w:p>
        </w:tc>
        <w:tc>
          <w:tcPr>
            <w:tcW w:w="2400" w:type="dxa"/>
          </w:tcPr>
          <w:p w14:paraId="2B9CA0A5" w14:textId="77777777" w:rsidR="001522EB" w:rsidRDefault="0013026C">
            <w:r>
              <w:rPr>
                <w:color w:val="000000"/>
                <w:sz w:val="17"/>
                <w:szCs w:val="17"/>
              </w:rPr>
              <w:t>Baja: un solo artefacto que desplegar y monitorear.</w:t>
            </w:r>
          </w:p>
        </w:tc>
        <w:tc>
          <w:tcPr>
            <w:tcW w:w="2750" w:type="dxa"/>
          </w:tcPr>
          <w:p w14:paraId="32CB9E80" w14:textId="77777777" w:rsidR="001522EB" w:rsidRDefault="0013026C">
            <w:r>
              <w:rPr>
                <w:color w:val="000000"/>
                <w:sz w:val="17"/>
                <w:szCs w:val="17"/>
              </w:rPr>
              <w:t>Alta: exige entrega continua, monitoreo y una cultura DevOps madura (Fowler, 2015a).</w:t>
            </w:r>
          </w:p>
        </w:tc>
        <w:tc>
          <w:tcPr>
            <w:tcW w:w="2150" w:type="dxa"/>
          </w:tcPr>
          <w:p w14:paraId="488C760E" w14:textId="77777777" w:rsidR="001522EB" w:rsidRDefault="0013026C">
            <w:r>
              <w:rPr>
                <w:color w:val="000000"/>
                <w:sz w:val="17"/>
                <w:szCs w:val="17"/>
              </w:rPr>
              <w:t>Riesgo principal; sus mitigaciones están en la Tabla 6.</w:t>
            </w:r>
          </w:p>
        </w:tc>
      </w:tr>
      <w:tr w:rsidR="001522EB" w14:paraId="07BCCEA8" w14:textId="77777777">
        <w:trPr>
          <w:cantSplit/>
          <w:jc w:val="center"/>
        </w:trPr>
        <w:tc>
          <w:tcPr>
            <w:tcW w:w="1450" w:type="dxa"/>
          </w:tcPr>
          <w:p w14:paraId="5DCB04EB" w14:textId="77777777" w:rsidR="001522EB" w:rsidRDefault="0013026C">
            <w:r>
              <w:rPr>
                <w:b/>
                <w:bCs/>
                <w:color w:val="000000"/>
                <w:sz w:val="17"/>
                <w:szCs w:val="17"/>
              </w:rPr>
              <w:t>Rendimiento</w:t>
            </w:r>
          </w:p>
        </w:tc>
        <w:tc>
          <w:tcPr>
            <w:tcW w:w="2400" w:type="dxa"/>
          </w:tcPr>
          <w:p w14:paraId="5088A02F" w14:textId="77777777" w:rsidR="001522EB" w:rsidRDefault="0013026C">
            <w:r>
              <w:rPr>
                <w:color w:val="000000"/>
                <w:sz w:val="17"/>
                <w:szCs w:val="17"/>
              </w:rPr>
              <w:t>Las llamadas internas ocurren dentro del mismo proceso.</w:t>
            </w:r>
          </w:p>
        </w:tc>
        <w:tc>
          <w:tcPr>
            <w:tcW w:w="2750" w:type="dxa"/>
          </w:tcPr>
          <w:p w14:paraId="24760BBC" w14:textId="77777777" w:rsidR="001522EB" w:rsidRDefault="0013026C">
            <w:r>
              <w:rPr>
                <w:color w:val="000000"/>
                <w:sz w:val="17"/>
                <w:szCs w:val="17"/>
              </w:rPr>
              <w:t>Las llamadas remotas son lentas y pueden fallar; las latencias se acumulan (Fowler, 2015a).</w:t>
            </w:r>
          </w:p>
        </w:tc>
        <w:tc>
          <w:tcPr>
            <w:tcW w:w="2150" w:type="dxa"/>
          </w:tcPr>
          <w:p w14:paraId="5FACEAE9" w14:textId="77777777" w:rsidR="001522EB" w:rsidRDefault="0013026C">
            <w:r>
              <w:rPr>
                <w:color w:val="000000"/>
                <w:sz w:val="17"/>
                <w:szCs w:val="17"/>
              </w:rPr>
              <w:t>RNF07 (&lt; 2 s): minimizar las llamadas síncronas.</w:t>
            </w:r>
          </w:p>
        </w:tc>
      </w:tr>
      <w:tr w:rsidR="001522EB" w14:paraId="3D421663" w14:textId="77777777">
        <w:trPr>
          <w:cantSplit/>
          <w:jc w:val="center"/>
        </w:trPr>
        <w:tc>
          <w:tcPr>
            <w:tcW w:w="1450" w:type="dxa"/>
          </w:tcPr>
          <w:p w14:paraId="7150A69F" w14:textId="77777777" w:rsidR="001522EB" w:rsidRDefault="0013026C">
            <w:r>
              <w:rPr>
                <w:b/>
                <w:bCs/>
                <w:color w:val="000000"/>
                <w:sz w:val="17"/>
                <w:szCs w:val="17"/>
              </w:rPr>
              <w:t>Tecnología</w:t>
            </w:r>
          </w:p>
        </w:tc>
        <w:tc>
          <w:tcPr>
            <w:tcW w:w="2400" w:type="dxa"/>
          </w:tcPr>
          <w:p w14:paraId="3E150651" w14:textId="77777777" w:rsidR="001522EB" w:rsidRDefault="0013026C">
            <w:r>
              <w:rPr>
                <w:color w:val="000000"/>
                <w:sz w:val="17"/>
                <w:szCs w:val="17"/>
              </w:rPr>
              <w:t>Suele usar un solo lenguaje y un conjunto único de tecnologías (Lewis y Fowler, 2014).</w:t>
            </w:r>
          </w:p>
        </w:tc>
        <w:tc>
          <w:tcPr>
            <w:tcW w:w="2750" w:type="dxa"/>
          </w:tcPr>
          <w:p w14:paraId="47A02246" w14:textId="77777777" w:rsidR="001522EB" w:rsidRDefault="0013026C">
            <w:r>
              <w:rPr>
                <w:color w:val="000000"/>
                <w:sz w:val="17"/>
                <w:szCs w:val="17"/>
              </w:rPr>
              <w:t>Cada servicio puede usar su propia pila tecnológica (Microsoft, 2025).</w:t>
            </w:r>
          </w:p>
        </w:tc>
        <w:tc>
          <w:tcPr>
            <w:tcW w:w="2150" w:type="dxa"/>
          </w:tcPr>
          <w:p w14:paraId="654FB0E4" w14:textId="77777777" w:rsidR="001522EB" w:rsidRDefault="0013026C">
            <w:r>
              <w:rPr>
                <w:color w:val="000000"/>
                <w:sz w:val="17"/>
                <w:szCs w:val="17"/>
              </w:rPr>
              <w:t>RNF19: se limita a las tecnologías vistas en clase.</w:t>
            </w:r>
          </w:p>
        </w:tc>
      </w:tr>
      <w:tr w:rsidR="001522EB" w14:paraId="7E14A735" w14:textId="77777777">
        <w:trPr>
          <w:cantSplit/>
          <w:jc w:val="center"/>
        </w:trPr>
        <w:tc>
          <w:tcPr>
            <w:tcW w:w="1450" w:type="dxa"/>
          </w:tcPr>
          <w:p w14:paraId="2B619B99" w14:textId="77777777" w:rsidR="001522EB" w:rsidRDefault="0013026C">
            <w:pPr>
              <w:keepNext/>
            </w:pPr>
            <w:r>
              <w:rPr>
                <w:b/>
                <w:bCs/>
                <w:color w:val="000000"/>
                <w:sz w:val="17"/>
                <w:szCs w:val="17"/>
              </w:rPr>
              <w:t>Pruebas y depuración</w:t>
            </w:r>
          </w:p>
        </w:tc>
        <w:tc>
          <w:tcPr>
            <w:tcW w:w="2400" w:type="dxa"/>
          </w:tcPr>
          <w:p w14:paraId="5A9B08EF" w14:textId="77777777" w:rsidR="001522EB" w:rsidRDefault="0013026C">
            <w:pPr>
              <w:keepNext/>
            </w:pPr>
            <w:r>
              <w:rPr>
                <w:color w:val="000000"/>
                <w:sz w:val="17"/>
                <w:szCs w:val="17"/>
              </w:rPr>
              <w:t>Más simples, con un solo proceso.</w:t>
            </w:r>
          </w:p>
        </w:tc>
        <w:tc>
          <w:tcPr>
            <w:tcW w:w="2750" w:type="dxa"/>
          </w:tcPr>
          <w:p w14:paraId="08B29630" w14:textId="77777777" w:rsidR="001522EB" w:rsidRDefault="0013026C">
            <w:pPr>
              <w:keepNext/>
            </w:pPr>
            <w:r>
              <w:rPr>
                <w:color w:val="000000"/>
                <w:sz w:val="17"/>
                <w:szCs w:val="17"/>
              </w:rPr>
              <w:t>Probar dependencias entre servicios y correlacionar logs es más difícil (Microsoft, 2025).</w:t>
            </w:r>
          </w:p>
        </w:tc>
        <w:tc>
          <w:tcPr>
            <w:tcW w:w="2150" w:type="dxa"/>
          </w:tcPr>
          <w:p w14:paraId="46386F5A" w14:textId="77777777" w:rsidR="001522EB" w:rsidRDefault="0013026C">
            <w:pPr>
              <w:keepNext/>
            </w:pPr>
            <w:r>
              <w:rPr>
                <w:color w:val="000000"/>
                <w:sz w:val="17"/>
                <w:szCs w:val="17"/>
              </w:rPr>
              <w:t>RNF11: identificador de correlación.</w:t>
            </w:r>
          </w:p>
        </w:tc>
      </w:tr>
    </w:tbl>
    <w:p w14:paraId="795FA273" w14:textId="77777777" w:rsidR="001522EB" w:rsidRDefault="0013026C">
      <w:pPr>
        <w:spacing w:before="60" w:after="240" w:line="240" w:lineRule="auto"/>
      </w:pPr>
      <w:r>
        <w:rPr>
          <w:color w:val="000000"/>
          <w:sz w:val="18"/>
          <w:szCs w:val="18"/>
        </w:rPr>
        <w:t>Fuente: elaboración propia con base en Lewis y Fowler (2014), Fowler (2015a), Dragoni et al. (2017) y Microsoft (2025).</w:t>
      </w:r>
    </w:p>
    <w:p w14:paraId="64E7FBE7" w14:textId="77777777" w:rsidR="001522EB" w:rsidRDefault="0013026C">
      <w:pPr>
        <w:pStyle w:val="Ttulo2"/>
        <w:numPr>
          <w:ilvl w:val="1"/>
          <w:numId w:val="3"/>
        </w:numPr>
      </w:pPr>
      <w:bookmarkStart w:id="20" w:name="_Toc243333077"/>
      <w:r>
        <w:t>Motivos técnicos para elegir microservicios</w:t>
      </w:r>
      <w:bookmarkEnd w:id="20"/>
    </w:p>
    <w:p w14:paraId="32B7BCF0" w14:textId="77777777" w:rsidR="001522EB" w:rsidRDefault="0013026C">
      <w:pPr>
        <w:numPr>
          <w:ilvl w:val="0"/>
          <w:numId w:val="2"/>
        </w:numPr>
        <w:spacing w:after="120" w:line="360" w:lineRule="auto"/>
        <w:jc w:val="both"/>
      </w:pPr>
      <w:r>
        <w:rPr>
          <w:b/>
          <w:bCs/>
          <w:color w:val="000000"/>
        </w:rPr>
        <w:t>Contextos con tasas de cambio y carga distintas.</w:t>
      </w:r>
      <w:r>
        <w:rPr>
          <w:color w:val="000000"/>
        </w:rPr>
        <w:t xml:space="preserve"> El catálogo cambia poco, mientras que el stock cambia con cada entrada, salida o ajuste. Separarlos permite escalar solo ms</w:t>
      </w:r>
      <w:r>
        <w:rPr>
          <w:color w:val="000000"/>
        </w:rPr>
        <w:noBreakHyphen/>
        <w:t>inventario en los momentos de mayor carga (RNF05).</w:t>
      </w:r>
    </w:p>
    <w:p w14:paraId="4DD80BDE" w14:textId="77777777" w:rsidR="001522EB" w:rsidRDefault="0013026C">
      <w:pPr>
        <w:numPr>
          <w:ilvl w:val="0"/>
          <w:numId w:val="2"/>
        </w:numPr>
        <w:spacing w:after="120" w:line="360" w:lineRule="auto"/>
        <w:jc w:val="both"/>
      </w:pPr>
      <w:r>
        <w:rPr>
          <w:b/>
          <w:bCs/>
          <w:color w:val="000000"/>
        </w:rPr>
        <w:t>Aislamiento de fallos.</w:t>
      </w:r>
      <w:r>
        <w:rPr>
          <w:color w:val="000000"/>
        </w:rPr>
        <w:t xml:space="preserve"> ms</w:t>
      </w:r>
      <w:r>
        <w:rPr>
          <w:color w:val="000000"/>
        </w:rPr>
        <w:noBreakHyphen/>
        <w:t>notificaciones y ms</w:t>
      </w:r>
      <w:r>
        <w:rPr>
          <w:color w:val="000000"/>
        </w:rPr>
        <w:noBreakHyphen/>
        <w:t>reportes reaccionan a eventos; si fallan, el registro de movimientos y de compras continúa (RNF12).</w:t>
      </w:r>
    </w:p>
    <w:p w14:paraId="744C24D4" w14:textId="77777777" w:rsidR="001522EB" w:rsidRDefault="0013026C">
      <w:pPr>
        <w:numPr>
          <w:ilvl w:val="0"/>
          <w:numId w:val="2"/>
        </w:numPr>
        <w:spacing w:after="120" w:line="360" w:lineRule="auto"/>
        <w:jc w:val="both"/>
      </w:pPr>
      <w:r>
        <w:rPr>
          <w:b/>
          <w:bCs/>
          <w:color w:val="000000"/>
        </w:rPr>
        <w:t>Datos privados por servicio y modelos distintos de «producto».</w:t>
      </w:r>
      <w:r>
        <w:rPr>
          <w:color w:val="000000"/>
        </w:rPr>
        <w:t xml:space="preserve"> Para el catálogo, un producto es su descripción y su precio; para el inventario, su saldo por bodega. Cada servicio guarda solo su modelo en su propia base de datos (RNF02).</w:t>
      </w:r>
    </w:p>
    <w:p w14:paraId="282DC969" w14:textId="77777777" w:rsidR="001522EB" w:rsidRDefault="0013026C">
      <w:pPr>
        <w:numPr>
          <w:ilvl w:val="0"/>
          <w:numId w:val="2"/>
        </w:numPr>
        <w:spacing w:after="120" w:line="360" w:lineRule="auto"/>
        <w:jc w:val="both"/>
      </w:pPr>
      <w:r>
        <w:rPr>
          <w:b/>
          <w:bCs/>
          <w:color w:val="000000"/>
        </w:rPr>
        <w:t>Entrada única y seguridad centralizada.</w:t>
      </w:r>
      <w:r>
        <w:rPr>
          <w:color w:val="000000"/>
        </w:rPr>
        <w:t xml:space="preserve"> El API Gateway propio concentra la gestión de usuarios y roles, la autenticación con Sanctum y el control de acceso, y oculta los microservicios al cliente (RNF03, RNF08 a RNF10).</w:t>
      </w:r>
    </w:p>
    <w:p w14:paraId="7F94864D" w14:textId="77777777" w:rsidR="001522EB" w:rsidRDefault="0013026C">
      <w:pPr>
        <w:numPr>
          <w:ilvl w:val="0"/>
          <w:numId w:val="2"/>
        </w:numPr>
        <w:spacing w:after="120" w:line="360" w:lineRule="auto"/>
        <w:jc w:val="both"/>
      </w:pPr>
      <w:r>
        <w:rPr>
          <w:b/>
          <w:bCs/>
          <w:color w:val="000000"/>
        </w:rPr>
        <w:t>Plataforma de ejecución.</w:t>
      </w:r>
      <w:r>
        <w:rPr>
          <w:color w:val="000000"/>
        </w:rPr>
        <w:t xml:space="preserve"> El enunciado exige Docker y Kubernetes; los microservicios aprovechan el despliegue y el escalado independientes que ofrece Kubernetes (RNF04 y RNF06).</w:t>
      </w:r>
    </w:p>
    <w:p w14:paraId="7FF12AE9" w14:textId="77777777" w:rsidR="001522EB" w:rsidRDefault="0013026C">
      <w:pPr>
        <w:numPr>
          <w:ilvl w:val="0"/>
          <w:numId w:val="2"/>
        </w:numPr>
        <w:spacing w:after="240" w:line="360" w:lineRule="auto"/>
        <w:jc w:val="both"/>
      </w:pPr>
      <w:r>
        <w:rPr>
          <w:b/>
          <w:bCs/>
          <w:color w:val="000000"/>
        </w:rPr>
        <w:t>Trabajo en paralelo.</w:t>
      </w:r>
      <w:r>
        <w:rPr>
          <w:color w:val="000000"/>
        </w:rPr>
        <w:t xml:space="preserve"> Con servicios separados, cada integrante puede desarrollar y probar sus servicios en su propia rama sin bloquear a los demás, lo que además deja evidencia individual en GitHub (RNF16).</w:t>
      </w:r>
    </w:p>
    <w:p w14:paraId="62081F0F" w14:textId="77777777" w:rsidR="001522EB" w:rsidRDefault="0013026C">
      <w:pPr>
        <w:pStyle w:val="Ttulo2"/>
        <w:numPr>
          <w:ilvl w:val="1"/>
          <w:numId w:val="3"/>
        </w:numPr>
      </w:pPr>
      <w:bookmarkStart w:id="21" w:name="_Toc243333078"/>
      <w:r>
        <w:t>Costos, riesgos y mitigaciones</w:t>
      </w:r>
      <w:bookmarkEnd w:id="21"/>
    </w:p>
    <w:p w14:paraId="6C9C6A5F" w14:textId="77777777" w:rsidR="001522EB" w:rsidRDefault="0013026C">
      <w:pPr>
        <w:spacing w:after="240" w:line="360" w:lineRule="auto"/>
        <w:jc w:val="both"/>
      </w:pPr>
      <w:r>
        <w:rPr>
          <w:color w:val="000000"/>
        </w:rPr>
        <w:t>La decisión tiene costos. La Tabla 6 relaciona cada riesgo con su fundamento y con la mitigación prevista en el proyecto.</w:t>
      </w:r>
    </w:p>
    <w:p w14:paraId="47A9BC3E" w14:textId="77777777" w:rsidR="001522EB" w:rsidRDefault="0013026C">
      <w:pPr>
        <w:keepNext/>
        <w:tabs>
          <w:tab w:val="left" w:pos="1134"/>
        </w:tabs>
        <w:spacing w:before="240" w:after="120" w:line="240" w:lineRule="auto"/>
        <w:ind w:left="1134" w:hanging="1134"/>
      </w:pPr>
      <w:r>
        <w:rPr>
          <w:b/>
          <w:bCs/>
          <w:color w:val="000000"/>
        </w:rPr>
        <w:t>Tabla 6:</w:t>
      </w:r>
      <w:r>
        <w:tab/>
      </w:r>
      <w:r>
        <w:rPr>
          <w:color w:val="000000"/>
        </w:rPr>
        <w:t>Costos y riesgos de la decisión, y sus mitigaciones.</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1750"/>
        <w:gridCol w:w="3250"/>
        <w:gridCol w:w="3750"/>
      </w:tblGrid>
      <w:tr w:rsidR="001522EB" w14:paraId="73E18053" w14:textId="77777777">
        <w:trPr>
          <w:cantSplit/>
          <w:tblHeader/>
          <w:jc w:val="center"/>
        </w:trPr>
        <w:tc>
          <w:tcPr>
            <w:tcW w:w="1750" w:type="dxa"/>
            <w:shd w:val="clear" w:color="auto" w:fill="D9D9D9"/>
            <w:vAlign w:val="center"/>
          </w:tcPr>
          <w:p w14:paraId="55A76892" w14:textId="77777777" w:rsidR="001522EB" w:rsidRDefault="0013026C">
            <w:pPr>
              <w:jc w:val="center"/>
            </w:pPr>
            <w:r>
              <w:rPr>
                <w:b/>
                <w:bCs/>
                <w:color w:val="000000"/>
                <w:sz w:val="18"/>
                <w:szCs w:val="18"/>
              </w:rPr>
              <w:t>Riesgo</w:t>
            </w:r>
          </w:p>
        </w:tc>
        <w:tc>
          <w:tcPr>
            <w:tcW w:w="3250" w:type="dxa"/>
            <w:shd w:val="clear" w:color="auto" w:fill="D9D9D9"/>
            <w:vAlign w:val="center"/>
          </w:tcPr>
          <w:p w14:paraId="12637EE9" w14:textId="77777777" w:rsidR="001522EB" w:rsidRDefault="0013026C">
            <w:pPr>
              <w:jc w:val="center"/>
            </w:pPr>
            <w:r>
              <w:rPr>
                <w:b/>
                <w:bCs/>
                <w:color w:val="000000"/>
                <w:sz w:val="18"/>
                <w:szCs w:val="18"/>
              </w:rPr>
              <w:t>Fundamento</w:t>
            </w:r>
          </w:p>
        </w:tc>
        <w:tc>
          <w:tcPr>
            <w:tcW w:w="3750" w:type="dxa"/>
            <w:shd w:val="clear" w:color="auto" w:fill="D9D9D9"/>
            <w:vAlign w:val="center"/>
          </w:tcPr>
          <w:p w14:paraId="0E086A45" w14:textId="77777777" w:rsidR="001522EB" w:rsidRDefault="0013026C">
            <w:pPr>
              <w:jc w:val="center"/>
            </w:pPr>
            <w:r>
              <w:rPr>
                <w:b/>
                <w:bCs/>
                <w:color w:val="000000"/>
                <w:sz w:val="18"/>
                <w:szCs w:val="18"/>
              </w:rPr>
              <w:t>Mitigación en el proyecto</w:t>
            </w:r>
          </w:p>
        </w:tc>
      </w:tr>
      <w:tr w:rsidR="001522EB" w14:paraId="0FC141ED" w14:textId="77777777">
        <w:trPr>
          <w:cantSplit/>
          <w:jc w:val="center"/>
        </w:trPr>
        <w:tc>
          <w:tcPr>
            <w:tcW w:w="1750" w:type="dxa"/>
          </w:tcPr>
          <w:p w14:paraId="2D04F740" w14:textId="77777777" w:rsidR="001522EB" w:rsidRDefault="0013026C">
            <w:r>
              <w:rPr>
                <w:b/>
                <w:bCs/>
                <w:color w:val="000000"/>
                <w:sz w:val="18"/>
                <w:szCs w:val="18"/>
              </w:rPr>
              <w:t>Complejidad operativa</w:t>
            </w:r>
          </w:p>
        </w:tc>
        <w:tc>
          <w:tcPr>
            <w:tcW w:w="3250" w:type="dxa"/>
          </w:tcPr>
          <w:p w14:paraId="328E18E9" w14:textId="77777777" w:rsidR="001522EB" w:rsidRDefault="0013026C">
            <w:r>
              <w:rPr>
                <w:color w:val="000000"/>
                <w:sz w:val="18"/>
                <w:szCs w:val="18"/>
              </w:rPr>
              <w:t>Los microservicios imponen un costo de productividad que solo se compensa en sistemas complejos (Fowler, 2015a).</w:t>
            </w:r>
          </w:p>
        </w:tc>
        <w:tc>
          <w:tcPr>
            <w:tcW w:w="3750" w:type="dxa"/>
          </w:tcPr>
          <w:p w14:paraId="105E6123" w14:textId="77777777" w:rsidR="001522EB" w:rsidRDefault="0013026C">
            <w:r>
              <w:rPr>
                <w:color w:val="000000"/>
                <w:sz w:val="18"/>
                <w:szCs w:val="18"/>
              </w:rPr>
              <w:t>Seis servicios de granularidad gruesa más el gateway, Docker Compose en local, manifiestos de Kubernetes e integración continua (RNF04, RNF06, RNF16).</w:t>
            </w:r>
          </w:p>
        </w:tc>
      </w:tr>
      <w:tr w:rsidR="001522EB" w14:paraId="46BADEF3" w14:textId="77777777">
        <w:trPr>
          <w:cantSplit/>
          <w:jc w:val="center"/>
        </w:trPr>
        <w:tc>
          <w:tcPr>
            <w:tcW w:w="1750" w:type="dxa"/>
          </w:tcPr>
          <w:p w14:paraId="040ADC25" w14:textId="77777777" w:rsidR="001522EB" w:rsidRDefault="0013026C">
            <w:r>
              <w:rPr>
                <w:b/>
                <w:bCs/>
                <w:color w:val="000000"/>
                <w:sz w:val="18"/>
                <w:szCs w:val="18"/>
              </w:rPr>
              <w:t>Gateway como componente crítico</w:t>
            </w:r>
          </w:p>
        </w:tc>
        <w:tc>
          <w:tcPr>
            <w:tcW w:w="3250" w:type="dxa"/>
          </w:tcPr>
          <w:p w14:paraId="2FAC3003" w14:textId="77777777" w:rsidR="001522EB" w:rsidRDefault="0013026C">
            <w:r>
              <w:rPr>
                <w:color w:val="000000"/>
                <w:sz w:val="18"/>
                <w:szCs w:val="18"/>
              </w:rPr>
              <w:t>Todas las peticiones pasan por el gateway, que además guarda la identidad de los usuarios. Microsoft (2025) recomienda mantener el conocimiento del dominio fuera del gateway para no acoplar los servicios a él.</w:t>
            </w:r>
          </w:p>
        </w:tc>
        <w:tc>
          <w:tcPr>
            <w:tcW w:w="3750" w:type="dxa"/>
          </w:tcPr>
          <w:p w14:paraId="7BBAC23F" w14:textId="77777777" w:rsidR="001522EB" w:rsidRDefault="0013026C">
            <w:r>
              <w:rPr>
                <w:color w:val="000000"/>
                <w:sz w:val="18"/>
                <w:szCs w:val="18"/>
              </w:rPr>
              <w:t>Varias réplicas del gateway en Kubernetes con health checks (RNF05, RNF12). El gateway solo maneja identidad, acceso y enrutamiento; las reglas del inventario quedan en los microservicios.</w:t>
            </w:r>
          </w:p>
        </w:tc>
      </w:tr>
      <w:tr w:rsidR="001522EB" w14:paraId="7B6883F9" w14:textId="77777777">
        <w:trPr>
          <w:cantSplit/>
          <w:jc w:val="center"/>
        </w:trPr>
        <w:tc>
          <w:tcPr>
            <w:tcW w:w="1750" w:type="dxa"/>
          </w:tcPr>
          <w:p w14:paraId="0A07F80F" w14:textId="77777777" w:rsidR="001522EB" w:rsidRDefault="0013026C">
            <w:r>
              <w:rPr>
                <w:b/>
                <w:bCs/>
                <w:color w:val="000000"/>
                <w:sz w:val="18"/>
                <w:szCs w:val="18"/>
              </w:rPr>
              <w:t>Consistencia eventual y mensajes duplicados</w:t>
            </w:r>
          </w:p>
        </w:tc>
        <w:tc>
          <w:tcPr>
            <w:tcW w:w="3250" w:type="dxa"/>
          </w:tcPr>
          <w:p w14:paraId="6EC3FA83" w14:textId="77777777" w:rsidR="001522EB" w:rsidRDefault="0013026C">
            <w:r>
              <w:rPr>
                <w:color w:val="000000"/>
                <w:sz w:val="18"/>
                <w:szCs w:val="18"/>
              </w:rPr>
              <w:t>Se pasa de transacciones ACID a consistencia eventual (Microsoft, 2025).</w:t>
            </w:r>
          </w:p>
        </w:tc>
        <w:tc>
          <w:tcPr>
            <w:tcW w:w="3750" w:type="dxa"/>
          </w:tcPr>
          <w:p w14:paraId="6F6E7417" w14:textId="77777777" w:rsidR="001522EB" w:rsidRDefault="0013026C">
            <w:r>
              <w:rPr>
                <w:color w:val="000000"/>
                <w:sz w:val="18"/>
                <w:szCs w:val="18"/>
              </w:rPr>
              <w:t>Se acepta la consistencia eventual (RNF13). La invariante «no saldo negativo» (RF04) vive dentro de ms</w:t>
            </w:r>
            <w:r>
              <w:rPr>
                <w:color w:val="000000"/>
                <w:sz w:val="18"/>
                <w:szCs w:val="18"/>
              </w:rPr>
              <w:noBreakHyphen/>
              <w:t>inventario, único dueño del saldo. El tratamiento de mensajes duplicados se definirá en la Entrega 2, junto con el broker de mensajería.</w:t>
            </w:r>
          </w:p>
        </w:tc>
      </w:tr>
      <w:tr w:rsidR="001522EB" w14:paraId="7C6FB8E5" w14:textId="77777777">
        <w:trPr>
          <w:cantSplit/>
          <w:jc w:val="center"/>
        </w:trPr>
        <w:tc>
          <w:tcPr>
            <w:tcW w:w="1750" w:type="dxa"/>
          </w:tcPr>
          <w:p w14:paraId="739BDDC4" w14:textId="77777777" w:rsidR="001522EB" w:rsidRDefault="0013026C">
            <w:r>
              <w:rPr>
                <w:b/>
                <w:bCs/>
                <w:color w:val="000000"/>
                <w:sz w:val="18"/>
                <w:szCs w:val="18"/>
              </w:rPr>
              <w:t>Latencia y disponibilidad</w:t>
            </w:r>
          </w:p>
        </w:tc>
        <w:tc>
          <w:tcPr>
            <w:tcW w:w="3250" w:type="dxa"/>
          </w:tcPr>
          <w:p w14:paraId="3D97A136" w14:textId="77777777" w:rsidR="001522EB" w:rsidRDefault="0013026C">
            <w:r>
              <w:rPr>
                <w:color w:val="000000"/>
                <w:sz w:val="18"/>
                <w:szCs w:val="18"/>
              </w:rPr>
              <w:t>Las llamadas remotas suman latencia y pueden fallar (Fowler, 2015a).</w:t>
            </w:r>
          </w:p>
        </w:tc>
        <w:tc>
          <w:tcPr>
            <w:tcW w:w="3750" w:type="dxa"/>
          </w:tcPr>
          <w:p w14:paraId="7D107BF1" w14:textId="77777777" w:rsidR="001522EB" w:rsidRDefault="0013026C">
            <w:r>
              <w:rPr>
                <w:color w:val="000000"/>
                <w:sz w:val="18"/>
                <w:szCs w:val="18"/>
              </w:rPr>
              <w:t>Solo dos dependencias síncronas, con timeouts, reintentos y health checks (RNF07, RNF12). Se validará con las pruebas de rendimiento (RNF17).</w:t>
            </w:r>
          </w:p>
        </w:tc>
      </w:tr>
      <w:tr w:rsidR="001522EB" w14:paraId="5BFC38ED" w14:textId="77777777">
        <w:trPr>
          <w:cantSplit/>
          <w:jc w:val="center"/>
        </w:trPr>
        <w:tc>
          <w:tcPr>
            <w:tcW w:w="1750" w:type="dxa"/>
          </w:tcPr>
          <w:p w14:paraId="65151C34" w14:textId="77777777" w:rsidR="001522EB" w:rsidRDefault="0013026C">
            <w:r>
              <w:rPr>
                <w:b/>
                <w:bCs/>
                <w:color w:val="000000"/>
                <w:sz w:val="18"/>
                <w:szCs w:val="18"/>
              </w:rPr>
              <w:t>Límites mal trazados</w:t>
            </w:r>
          </w:p>
        </w:tc>
        <w:tc>
          <w:tcPr>
            <w:tcW w:w="3250" w:type="dxa"/>
          </w:tcPr>
          <w:p w14:paraId="75E7F032" w14:textId="77777777" w:rsidR="001522EB" w:rsidRDefault="0013026C">
            <w:r>
              <w:rPr>
                <w:color w:val="000000"/>
                <w:sz w:val="18"/>
                <w:szCs w:val="18"/>
              </w:rPr>
              <w:t>Fowler (2015b) observa que casi todos los sistemas construidos como microservicios desde cero terminaron con serios problemas, y recomienda comenzar con un monolito.</w:t>
            </w:r>
          </w:p>
        </w:tc>
        <w:tc>
          <w:tcPr>
            <w:tcW w:w="3750" w:type="dxa"/>
          </w:tcPr>
          <w:p w14:paraId="5DF6B149" w14:textId="77777777" w:rsidR="001522EB" w:rsidRDefault="0013026C">
            <w:r>
              <w:rPr>
                <w:color w:val="000000"/>
                <w:sz w:val="18"/>
                <w:szCs w:val="18"/>
              </w:rPr>
              <w:t>Se usó DDD para definir los contextos delimitados. Si dos servicios cambian juntos con frecuencia, es señal de que deberían fusionarse (Lewis y Fowler, 2014); esto se revisará para ms</w:t>
            </w:r>
            <w:r>
              <w:rPr>
                <w:color w:val="000000"/>
                <w:sz w:val="18"/>
                <w:szCs w:val="18"/>
              </w:rPr>
              <w:noBreakHyphen/>
              <w:t>proveedores y ms</w:t>
            </w:r>
            <w:r>
              <w:rPr>
                <w:color w:val="000000"/>
                <w:sz w:val="18"/>
                <w:szCs w:val="18"/>
              </w:rPr>
              <w:noBreakHyphen/>
              <w:t>compras.</w:t>
            </w:r>
          </w:p>
        </w:tc>
      </w:tr>
      <w:tr w:rsidR="001522EB" w14:paraId="798529FC" w14:textId="77777777">
        <w:trPr>
          <w:cantSplit/>
          <w:jc w:val="center"/>
        </w:trPr>
        <w:tc>
          <w:tcPr>
            <w:tcW w:w="1750" w:type="dxa"/>
          </w:tcPr>
          <w:p w14:paraId="7620BC27" w14:textId="77777777" w:rsidR="001522EB" w:rsidRDefault="0013026C">
            <w:r>
              <w:rPr>
                <w:b/>
                <w:bCs/>
                <w:color w:val="000000"/>
                <w:sz w:val="18"/>
                <w:szCs w:val="18"/>
              </w:rPr>
              <w:t>Observabilidad y depuración</w:t>
            </w:r>
          </w:p>
        </w:tc>
        <w:tc>
          <w:tcPr>
            <w:tcW w:w="3250" w:type="dxa"/>
          </w:tcPr>
          <w:p w14:paraId="60DF1F20" w14:textId="77777777" w:rsidR="001522EB" w:rsidRDefault="0013026C">
            <w:r>
              <w:rPr>
                <w:color w:val="000000"/>
                <w:sz w:val="18"/>
                <w:szCs w:val="18"/>
              </w:rPr>
              <w:t>Se requiere logging correlacionado entre servicios (Microsoft, 2025).</w:t>
            </w:r>
          </w:p>
        </w:tc>
        <w:tc>
          <w:tcPr>
            <w:tcW w:w="3750" w:type="dxa"/>
          </w:tcPr>
          <w:p w14:paraId="6AB9EB4F" w14:textId="77777777" w:rsidR="001522EB" w:rsidRDefault="0013026C">
            <w:r>
              <w:rPr>
                <w:color w:val="000000"/>
                <w:sz w:val="18"/>
                <w:szCs w:val="18"/>
              </w:rPr>
              <w:t>Logs centralizados, métricas e identificador de correlación (RNF11).</w:t>
            </w:r>
          </w:p>
        </w:tc>
      </w:tr>
      <w:tr w:rsidR="001522EB" w14:paraId="1785E783" w14:textId="77777777">
        <w:trPr>
          <w:cantSplit/>
          <w:jc w:val="center"/>
        </w:trPr>
        <w:tc>
          <w:tcPr>
            <w:tcW w:w="1750" w:type="dxa"/>
          </w:tcPr>
          <w:p w14:paraId="04A8A528" w14:textId="77777777" w:rsidR="001522EB" w:rsidRDefault="0013026C">
            <w:pPr>
              <w:keepNext/>
            </w:pPr>
            <w:r>
              <w:rPr>
                <w:b/>
                <w:bCs/>
                <w:color w:val="000000"/>
                <w:sz w:val="18"/>
                <w:szCs w:val="18"/>
              </w:rPr>
              <w:t>Habilidades del equipo</w:t>
            </w:r>
          </w:p>
        </w:tc>
        <w:tc>
          <w:tcPr>
            <w:tcW w:w="3250" w:type="dxa"/>
          </w:tcPr>
          <w:p w14:paraId="54D4A5B4" w14:textId="77777777" w:rsidR="001522EB" w:rsidRDefault="0013026C">
            <w:pPr>
              <w:keepNext/>
            </w:pPr>
            <w:r>
              <w:rPr>
                <w:color w:val="000000"/>
                <w:sz w:val="18"/>
                <w:szCs w:val="18"/>
              </w:rPr>
              <w:t>Los sistemas distribuidos exigen evaluar si el equipo tiene la experiencia necesaria (Microsoft, 2025).</w:t>
            </w:r>
          </w:p>
        </w:tc>
        <w:tc>
          <w:tcPr>
            <w:tcW w:w="3750" w:type="dxa"/>
          </w:tcPr>
          <w:p w14:paraId="7CE5D0BD" w14:textId="77777777" w:rsidR="001522EB" w:rsidRDefault="0013026C">
            <w:pPr>
              <w:keepNext/>
            </w:pPr>
            <w:r>
              <w:rPr>
                <w:color w:val="000000"/>
                <w:sz w:val="18"/>
                <w:szCs w:val="18"/>
              </w:rPr>
              <w:t>El uso documentado de IA y las sustentaciones sirven de control; el alcance se limita a lo visto en clase (RNF19, RNF20).</w:t>
            </w:r>
          </w:p>
        </w:tc>
      </w:tr>
    </w:tbl>
    <w:p w14:paraId="070F4204" w14:textId="77777777" w:rsidR="001522EB" w:rsidRDefault="0013026C">
      <w:pPr>
        <w:spacing w:before="60" w:after="240" w:line="240" w:lineRule="auto"/>
      </w:pPr>
      <w:r>
        <w:rPr>
          <w:color w:val="000000"/>
          <w:sz w:val="18"/>
          <w:szCs w:val="18"/>
        </w:rPr>
        <w:t>Fuente: elaboración propia con base en Fowler (2015a, 2015b), Lewis y Fowler (2014) y Microsoft (2025).</w:t>
      </w:r>
    </w:p>
    <w:p w14:paraId="6F645A7C" w14:textId="77777777" w:rsidR="001522EB" w:rsidRDefault="0013026C">
      <w:pPr>
        <w:pStyle w:val="Ttulo2"/>
        <w:numPr>
          <w:ilvl w:val="1"/>
          <w:numId w:val="3"/>
        </w:numPr>
      </w:pPr>
      <w:bookmarkStart w:id="22" w:name="_Toc243333079"/>
      <w:r>
        <w:t>Conclusión de la justificación</w:t>
      </w:r>
      <w:bookmarkEnd w:id="22"/>
    </w:p>
    <w:p w14:paraId="77F02860" w14:textId="77777777" w:rsidR="001522EB" w:rsidRDefault="0013026C">
      <w:pPr>
        <w:spacing w:after="240" w:line="360" w:lineRule="auto"/>
        <w:jc w:val="both"/>
      </w:pPr>
      <w:r>
        <w:rPr>
          <w:color w:val="000000"/>
        </w:rPr>
        <w:t>La arquitectura de microservicios se justifica en este proyecto por cuatro ventajas concretas: escalar el servicio de stock de forma independiente, aislar los servicios reactivos, dar privacidad de datos a cada dominio y centralizar la seguridad en un gateway propio. Además, el enunciado del proyecto exige esta arquitectura (RNF01). Sus costos (complejidad operativa, consistencia eventual y latencia) son reales y se gestionan con comunicación asíncrona por eventos, pocas llamadas síncronas, observabilidad y</w:t>
      </w:r>
      <w:r>
        <w:rPr>
          <w:color w:val="000000"/>
        </w:rPr>
        <w:t xml:space="preserve"> automatización del despliegue. La hipótesis de escalado selectivo queda como resultado por validar con las pruebas de rendimiento.</w:t>
      </w:r>
    </w:p>
    <w:p w14:paraId="5349E947" w14:textId="77777777" w:rsidR="001522EB" w:rsidRDefault="0013026C">
      <w:pPr>
        <w:pStyle w:val="Ttulo1"/>
        <w:pageBreakBefore/>
        <w:numPr>
          <w:ilvl w:val="0"/>
          <w:numId w:val="3"/>
        </w:numPr>
      </w:pPr>
      <w:bookmarkStart w:id="23" w:name="_Toc243333080"/>
      <w:r>
        <w:t>Identificación preliminar de microservicios</w:t>
      </w:r>
      <w:bookmarkEnd w:id="23"/>
    </w:p>
    <w:p w14:paraId="5587331D" w14:textId="77777777" w:rsidR="001522EB" w:rsidRDefault="0013026C">
      <w:pPr>
        <w:spacing w:after="240" w:line="360" w:lineRule="auto"/>
        <w:jc w:val="both"/>
      </w:pPr>
      <w:r>
        <w:rPr>
          <w:color w:val="000000"/>
        </w:rPr>
        <w:t>Este capítulo identifica los microservicios del sistema, sus responsabilidades y la forma en que se comunican. La propuesta es preliminar: los contratos de API y los modelos de datos se diseñarán en la Entrega 2.</w:t>
      </w:r>
    </w:p>
    <w:p w14:paraId="3EC0D612" w14:textId="77777777" w:rsidR="001522EB" w:rsidRDefault="0013026C">
      <w:pPr>
        <w:pStyle w:val="Ttulo2"/>
        <w:numPr>
          <w:ilvl w:val="1"/>
          <w:numId w:val="3"/>
        </w:numPr>
      </w:pPr>
      <w:bookmarkStart w:id="24" w:name="_Toc243333081"/>
      <w:r>
        <w:t>Metodología</w:t>
      </w:r>
      <w:bookmarkEnd w:id="24"/>
    </w:p>
    <w:p w14:paraId="06E15805" w14:textId="77777777" w:rsidR="001522EB" w:rsidRDefault="0013026C">
      <w:pPr>
        <w:spacing w:after="240" w:line="360" w:lineRule="auto"/>
        <w:jc w:val="both"/>
      </w:pPr>
      <w:r>
        <w:rPr>
          <w:color w:val="000000"/>
        </w:rPr>
        <w:t>Para identificar los microservicios se aplicó el enfoque de diseño guiado por el dominio (Domain-Driven Design, DDD) en tres pasos:</w:t>
      </w:r>
    </w:p>
    <w:p w14:paraId="0DFA6560" w14:textId="77777777" w:rsidR="001522EB" w:rsidRDefault="0013026C">
      <w:pPr>
        <w:numPr>
          <w:ilvl w:val="0"/>
          <w:numId w:val="4"/>
        </w:numPr>
        <w:spacing w:after="120" w:line="360" w:lineRule="auto"/>
        <w:jc w:val="both"/>
      </w:pPr>
      <w:r>
        <w:rPr>
          <w:b/>
          <w:bCs/>
          <w:color w:val="000000"/>
        </w:rPr>
        <w:t>Análisis de capacidades de negocio.</w:t>
      </w:r>
      <w:r>
        <w:rPr>
          <w:color w:val="000000"/>
        </w:rPr>
        <w:t xml:space="preserve"> Se listaron los requerimientos funcionales (RF01–RF14) y se agruparon según el proceso de negocio que atienden.</w:t>
      </w:r>
    </w:p>
    <w:p w14:paraId="5A0FD822" w14:textId="77777777" w:rsidR="001522EB" w:rsidRDefault="0013026C">
      <w:pPr>
        <w:numPr>
          <w:ilvl w:val="0"/>
          <w:numId w:val="4"/>
        </w:numPr>
        <w:spacing w:after="120" w:line="360" w:lineRule="auto"/>
        <w:jc w:val="both"/>
      </w:pPr>
      <w:r>
        <w:rPr>
          <w:b/>
          <w:bCs/>
          <w:color w:val="000000"/>
        </w:rPr>
        <w:t>Detección de contextos delimitados (</w:t>
      </w:r>
      <w:r>
        <w:rPr>
          <w:b/>
          <w:bCs/>
          <w:i/>
          <w:iCs/>
          <w:color w:val="000000"/>
        </w:rPr>
        <w:t>bounded contexts</w:t>
      </w:r>
      <w:r>
        <w:rPr>
          <w:b/>
          <w:bCs/>
          <w:color w:val="000000"/>
        </w:rPr>
        <w:t>).</w:t>
      </w:r>
      <w:r>
        <w:rPr>
          <w:color w:val="000000"/>
        </w:rPr>
        <w:t xml:space="preserve"> Se identificaron los puntos donde el </w:t>
      </w:r>
      <w:r>
        <w:rPr>
          <w:i/>
          <w:iCs/>
          <w:color w:val="000000"/>
        </w:rPr>
        <w:t>lenguaje</w:t>
      </w:r>
      <w:r>
        <w:rPr>
          <w:color w:val="000000"/>
        </w:rPr>
        <w:t xml:space="preserve"> y el </w:t>
      </w:r>
      <w:r>
        <w:rPr>
          <w:i/>
          <w:iCs/>
          <w:color w:val="000000"/>
        </w:rPr>
        <w:t>significado</w:t>
      </w:r>
      <w:r>
        <w:rPr>
          <w:color w:val="000000"/>
        </w:rPr>
        <w:t xml:space="preserve"> de un mismo concepto cambian según el área. Por ejemplo, «producto» significa algo distinto para el catálogo (nombre, descripción, precio) que para el inventario (saldo disponible, ubicación en bodega).</w:t>
      </w:r>
    </w:p>
    <w:p w14:paraId="2CE37C66" w14:textId="77777777" w:rsidR="001522EB" w:rsidRDefault="0013026C">
      <w:pPr>
        <w:numPr>
          <w:ilvl w:val="0"/>
          <w:numId w:val="4"/>
        </w:numPr>
        <w:spacing w:after="240" w:line="360" w:lineRule="auto"/>
        <w:jc w:val="both"/>
      </w:pPr>
      <w:r>
        <w:rPr>
          <w:b/>
          <w:bCs/>
          <w:color w:val="000000"/>
        </w:rPr>
        <w:t>Validación con criterios técnicos.</w:t>
      </w:r>
      <w:r>
        <w:rPr>
          <w:color w:val="000000"/>
        </w:rPr>
        <w:t xml:space="preserve"> Cada contexto propuesto se contrastó con RNF05 (escalabilidad independiente) y RNF02 (persistencia independiente), para confirmar que conviene separarlo como microservicio y no solo como módulo interno.</w:t>
      </w:r>
    </w:p>
    <w:p w14:paraId="2E282C0C" w14:textId="77777777" w:rsidR="001522EB" w:rsidRDefault="0013026C">
      <w:pPr>
        <w:pStyle w:val="Ttulo2"/>
        <w:numPr>
          <w:ilvl w:val="1"/>
          <w:numId w:val="3"/>
        </w:numPr>
      </w:pPr>
      <w:bookmarkStart w:id="25" w:name="_Toc243333082"/>
      <w:r>
        <w:t>Microservicios identificados</w:t>
      </w:r>
      <w:bookmarkEnd w:id="25"/>
    </w:p>
    <w:p w14:paraId="562E9DC7" w14:textId="77777777" w:rsidR="001522EB" w:rsidRDefault="0013026C">
      <w:pPr>
        <w:spacing w:after="240" w:line="360" w:lineRule="auto"/>
        <w:jc w:val="both"/>
      </w:pPr>
      <w:r>
        <w:rPr>
          <w:color w:val="000000"/>
        </w:rPr>
        <w:t>La Tabla 7 presenta los seis microservicios, su contexto, su responsabilidad principal, sus entidades clave y los requerimientos funcionales que cubren.</w:t>
      </w:r>
    </w:p>
    <w:p w14:paraId="5567B7D4" w14:textId="77777777" w:rsidR="001522EB" w:rsidRDefault="0013026C">
      <w:pPr>
        <w:keepNext/>
        <w:tabs>
          <w:tab w:val="left" w:pos="1134"/>
        </w:tabs>
        <w:spacing w:before="240" w:after="120" w:line="240" w:lineRule="auto"/>
        <w:ind w:left="1134" w:hanging="1134"/>
      </w:pPr>
      <w:r>
        <w:rPr>
          <w:b/>
          <w:bCs/>
          <w:color w:val="000000"/>
        </w:rPr>
        <w:t>Tabla 7:</w:t>
      </w:r>
      <w:r>
        <w:tab/>
      </w:r>
      <w:r>
        <w:rPr>
          <w:color w:val="000000"/>
        </w:rPr>
        <w:t>Microservicios identificados.</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1800"/>
        <w:gridCol w:w="1350"/>
        <w:gridCol w:w="2600"/>
        <w:gridCol w:w="1600"/>
        <w:gridCol w:w="1400"/>
      </w:tblGrid>
      <w:tr w:rsidR="001522EB" w14:paraId="47B45E20" w14:textId="77777777">
        <w:trPr>
          <w:cantSplit/>
          <w:tblHeader/>
          <w:jc w:val="center"/>
        </w:trPr>
        <w:tc>
          <w:tcPr>
            <w:tcW w:w="1800" w:type="dxa"/>
            <w:shd w:val="clear" w:color="auto" w:fill="D9D9D9"/>
            <w:vAlign w:val="center"/>
          </w:tcPr>
          <w:p w14:paraId="0704265F" w14:textId="77777777" w:rsidR="001522EB" w:rsidRDefault="0013026C">
            <w:pPr>
              <w:jc w:val="center"/>
            </w:pPr>
            <w:r>
              <w:rPr>
                <w:b/>
                <w:bCs/>
                <w:color w:val="000000"/>
                <w:sz w:val="17"/>
                <w:szCs w:val="17"/>
              </w:rPr>
              <w:t>Microservicio</w:t>
            </w:r>
          </w:p>
        </w:tc>
        <w:tc>
          <w:tcPr>
            <w:tcW w:w="1350" w:type="dxa"/>
            <w:shd w:val="clear" w:color="auto" w:fill="D9D9D9"/>
            <w:vAlign w:val="center"/>
          </w:tcPr>
          <w:p w14:paraId="4540C2A2" w14:textId="77777777" w:rsidR="001522EB" w:rsidRDefault="0013026C">
            <w:pPr>
              <w:jc w:val="center"/>
            </w:pPr>
            <w:r>
              <w:rPr>
                <w:b/>
                <w:bCs/>
                <w:color w:val="000000"/>
                <w:sz w:val="17"/>
                <w:szCs w:val="17"/>
              </w:rPr>
              <w:t>Contexto</w:t>
            </w:r>
          </w:p>
        </w:tc>
        <w:tc>
          <w:tcPr>
            <w:tcW w:w="2600" w:type="dxa"/>
            <w:shd w:val="clear" w:color="auto" w:fill="D9D9D9"/>
            <w:vAlign w:val="center"/>
          </w:tcPr>
          <w:p w14:paraId="60779C90" w14:textId="77777777" w:rsidR="001522EB" w:rsidRDefault="0013026C">
            <w:pPr>
              <w:jc w:val="center"/>
            </w:pPr>
            <w:r>
              <w:rPr>
                <w:b/>
                <w:bCs/>
                <w:color w:val="000000"/>
                <w:sz w:val="17"/>
                <w:szCs w:val="17"/>
              </w:rPr>
              <w:t>Responsabilidad principal</w:t>
            </w:r>
          </w:p>
        </w:tc>
        <w:tc>
          <w:tcPr>
            <w:tcW w:w="1600" w:type="dxa"/>
            <w:shd w:val="clear" w:color="auto" w:fill="D9D9D9"/>
            <w:vAlign w:val="center"/>
          </w:tcPr>
          <w:p w14:paraId="67BE26BD" w14:textId="77777777" w:rsidR="001522EB" w:rsidRDefault="0013026C">
            <w:pPr>
              <w:jc w:val="center"/>
            </w:pPr>
            <w:r>
              <w:rPr>
                <w:b/>
                <w:bCs/>
                <w:color w:val="000000"/>
                <w:sz w:val="17"/>
                <w:szCs w:val="17"/>
              </w:rPr>
              <w:t>Entidades clave</w:t>
            </w:r>
          </w:p>
        </w:tc>
        <w:tc>
          <w:tcPr>
            <w:tcW w:w="1400" w:type="dxa"/>
            <w:shd w:val="clear" w:color="auto" w:fill="D9D9D9"/>
            <w:vAlign w:val="center"/>
          </w:tcPr>
          <w:p w14:paraId="04E1061E" w14:textId="77777777" w:rsidR="001522EB" w:rsidRDefault="0013026C">
            <w:pPr>
              <w:jc w:val="center"/>
            </w:pPr>
            <w:r>
              <w:rPr>
                <w:b/>
                <w:bCs/>
                <w:color w:val="000000"/>
                <w:sz w:val="17"/>
                <w:szCs w:val="17"/>
              </w:rPr>
              <w:t>RF que cubre</w:t>
            </w:r>
          </w:p>
        </w:tc>
      </w:tr>
      <w:tr w:rsidR="001522EB" w14:paraId="637C3D30" w14:textId="77777777">
        <w:trPr>
          <w:cantSplit/>
          <w:jc w:val="center"/>
        </w:trPr>
        <w:tc>
          <w:tcPr>
            <w:tcW w:w="1800" w:type="dxa"/>
          </w:tcPr>
          <w:p w14:paraId="6D8BD86D" w14:textId="77777777" w:rsidR="001522EB" w:rsidRDefault="0013026C">
            <w:r>
              <w:rPr>
                <w:b/>
                <w:bCs/>
                <w:color w:val="000000"/>
                <w:sz w:val="17"/>
                <w:szCs w:val="17"/>
              </w:rPr>
              <w:t>ms</w:t>
            </w:r>
            <w:r>
              <w:rPr>
                <w:b/>
                <w:bCs/>
                <w:color w:val="000000"/>
                <w:sz w:val="17"/>
                <w:szCs w:val="17"/>
              </w:rPr>
              <w:noBreakHyphen/>
            </w:r>
            <w:r>
              <w:rPr>
                <w:b/>
                <w:bCs/>
                <w:color w:val="000000"/>
                <w:sz w:val="17"/>
                <w:szCs w:val="17"/>
              </w:rPr>
              <w:t>productos</w:t>
            </w:r>
          </w:p>
        </w:tc>
        <w:tc>
          <w:tcPr>
            <w:tcW w:w="1350" w:type="dxa"/>
          </w:tcPr>
          <w:p w14:paraId="28FAAF88" w14:textId="77777777" w:rsidR="001522EB" w:rsidRDefault="0013026C">
            <w:r>
              <w:rPr>
                <w:color w:val="000000"/>
                <w:sz w:val="17"/>
                <w:szCs w:val="17"/>
              </w:rPr>
              <w:t>Catálogo</w:t>
            </w:r>
          </w:p>
        </w:tc>
        <w:tc>
          <w:tcPr>
            <w:tcW w:w="2600" w:type="dxa"/>
          </w:tcPr>
          <w:p w14:paraId="342CB778" w14:textId="77777777" w:rsidR="001522EB" w:rsidRDefault="0013026C">
            <w:r>
              <w:rPr>
                <w:color w:val="000000"/>
                <w:sz w:val="17"/>
                <w:szCs w:val="17"/>
              </w:rPr>
              <w:t>Maestro de productos y categorías (qué existe, no cuánto hay).</w:t>
            </w:r>
          </w:p>
        </w:tc>
        <w:tc>
          <w:tcPr>
            <w:tcW w:w="1600" w:type="dxa"/>
          </w:tcPr>
          <w:p w14:paraId="32873FE0" w14:textId="77777777" w:rsidR="001522EB" w:rsidRDefault="0013026C">
            <w:r>
              <w:rPr>
                <w:color w:val="000000"/>
                <w:sz w:val="17"/>
                <w:szCs w:val="17"/>
              </w:rPr>
              <w:t>Producto, Categoría, Subcategoría</w:t>
            </w:r>
          </w:p>
        </w:tc>
        <w:tc>
          <w:tcPr>
            <w:tcW w:w="1400" w:type="dxa"/>
          </w:tcPr>
          <w:p w14:paraId="09AA4095" w14:textId="77777777" w:rsidR="001522EB" w:rsidRDefault="0013026C">
            <w:r>
              <w:rPr>
                <w:color w:val="000000"/>
                <w:sz w:val="17"/>
                <w:szCs w:val="17"/>
              </w:rPr>
              <w:t>RF01, RF02, RF12</w:t>
            </w:r>
          </w:p>
        </w:tc>
      </w:tr>
      <w:tr w:rsidR="001522EB" w14:paraId="4066A0EA" w14:textId="77777777">
        <w:trPr>
          <w:cantSplit/>
          <w:jc w:val="center"/>
        </w:trPr>
        <w:tc>
          <w:tcPr>
            <w:tcW w:w="1800" w:type="dxa"/>
          </w:tcPr>
          <w:p w14:paraId="304448F5" w14:textId="77777777" w:rsidR="001522EB" w:rsidRDefault="0013026C">
            <w:r>
              <w:rPr>
                <w:b/>
                <w:bCs/>
                <w:color w:val="000000"/>
                <w:sz w:val="17"/>
                <w:szCs w:val="17"/>
              </w:rPr>
              <w:t>ms</w:t>
            </w:r>
            <w:r>
              <w:rPr>
                <w:b/>
                <w:bCs/>
                <w:color w:val="000000"/>
                <w:sz w:val="17"/>
                <w:szCs w:val="17"/>
              </w:rPr>
              <w:noBreakHyphen/>
              <w:t>inventario</w:t>
            </w:r>
          </w:p>
        </w:tc>
        <w:tc>
          <w:tcPr>
            <w:tcW w:w="1350" w:type="dxa"/>
          </w:tcPr>
          <w:p w14:paraId="46AFB5C5" w14:textId="77777777" w:rsidR="001522EB" w:rsidRDefault="0013026C">
            <w:r>
              <w:rPr>
                <w:color w:val="000000"/>
                <w:sz w:val="17"/>
                <w:szCs w:val="17"/>
              </w:rPr>
              <w:t>Stock / almacén</w:t>
            </w:r>
          </w:p>
        </w:tc>
        <w:tc>
          <w:tcPr>
            <w:tcW w:w="2600" w:type="dxa"/>
          </w:tcPr>
          <w:p w14:paraId="5DDD2D71" w14:textId="77777777" w:rsidR="001522EB" w:rsidRDefault="0013026C">
            <w:r>
              <w:rPr>
                <w:color w:val="000000"/>
                <w:sz w:val="17"/>
                <w:szCs w:val="17"/>
              </w:rPr>
              <w:t>Saldos por bodega, movimientos (entradas, salidas, ajustes y traslados), kardex, detección de stock bajo y devoluciones de clientes.</w:t>
            </w:r>
          </w:p>
        </w:tc>
        <w:tc>
          <w:tcPr>
            <w:tcW w:w="1600" w:type="dxa"/>
          </w:tcPr>
          <w:p w14:paraId="092530F4" w14:textId="77777777" w:rsidR="001522EB" w:rsidRDefault="0013026C">
            <w:r>
              <w:rPr>
                <w:color w:val="000000"/>
                <w:sz w:val="17"/>
                <w:szCs w:val="17"/>
              </w:rPr>
              <w:t>Stock, Movimiento, Bodega, Kardex</w:t>
            </w:r>
          </w:p>
        </w:tc>
        <w:tc>
          <w:tcPr>
            <w:tcW w:w="1400" w:type="dxa"/>
          </w:tcPr>
          <w:p w14:paraId="72D3BF81" w14:textId="77777777" w:rsidR="001522EB" w:rsidRDefault="0013026C">
            <w:r>
              <w:rPr>
                <w:color w:val="000000"/>
                <w:sz w:val="17"/>
                <w:szCs w:val="17"/>
              </w:rPr>
              <w:t>RF04, RF05, RF09 (detección), RF10, RF13 (clientes)</w:t>
            </w:r>
          </w:p>
        </w:tc>
      </w:tr>
      <w:tr w:rsidR="001522EB" w14:paraId="18FE67FE" w14:textId="77777777">
        <w:trPr>
          <w:cantSplit/>
          <w:jc w:val="center"/>
        </w:trPr>
        <w:tc>
          <w:tcPr>
            <w:tcW w:w="1800" w:type="dxa"/>
          </w:tcPr>
          <w:p w14:paraId="3C37FDF6" w14:textId="77777777" w:rsidR="001522EB" w:rsidRDefault="0013026C">
            <w:r>
              <w:rPr>
                <w:b/>
                <w:bCs/>
                <w:color w:val="000000"/>
                <w:sz w:val="17"/>
                <w:szCs w:val="17"/>
              </w:rPr>
              <w:t>ms</w:t>
            </w:r>
            <w:r>
              <w:rPr>
                <w:b/>
                <w:bCs/>
                <w:color w:val="000000"/>
                <w:sz w:val="17"/>
                <w:szCs w:val="17"/>
              </w:rPr>
              <w:noBreakHyphen/>
              <w:t>proveedores</w:t>
            </w:r>
          </w:p>
        </w:tc>
        <w:tc>
          <w:tcPr>
            <w:tcW w:w="1350" w:type="dxa"/>
          </w:tcPr>
          <w:p w14:paraId="4B168EBF" w14:textId="77777777" w:rsidR="001522EB" w:rsidRDefault="0013026C">
            <w:r>
              <w:rPr>
                <w:color w:val="000000"/>
                <w:sz w:val="17"/>
                <w:szCs w:val="17"/>
              </w:rPr>
              <w:t>Proveedores</w:t>
            </w:r>
          </w:p>
        </w:tc>
        <w:tc>
          <w:tcPr>
            <w:tcW w:w="2600" w:type="dxa"/>
          </w:tcPr>
          <w:p w14:paraId="3B6F210F" w14:textId="77777777" w:rsidR="001522EB" w:rsidRDefault="0013026C">
            <w:r>
              <w:rPr>
                <w:color w:val="000000"/>
                <w:sz w:val="17"/>
                <w:szCs w:val="17"/>
              </w:rPr>
              <w:t>Registro y gestión de proveedores.</w:t>
            </w:r>
          </w:p>
        </w:tc>
        <w:tc>
          <w:tcPr>
            <w:tcW w:w="1600" w:type="dxa"/>
          </w:tcPr>
          <w:p w14:paraId="315416F7" w14:textId="77777777" w:rsidR="001522EB" w:rsidRDefault="0013026C">
            <w:r>
              <w:rPr>
                <w:color w:val="000000"/>
                <w:sz w:val="17"/>
                <w:szCs w:val="17"/>
              </w:rPr>
              <w:t>Proveedor, Contacto</w:t>
            </w:r>
          </w:p>
        </w:tc>
        <w:tc>
          <w:tcPr>
            <w:tcW w:w="1400" w:type="dxa"/>
          </w:tcPr>
          <w:p w14:paraId="0201C565" w14:textId="77777777" w:rsidR="001522EB" w:rsidRDefault="0013026C">
            <w:r>
              <w:rPr>
                <w:color w:val="000000"/>
                <w:sz w:val="17"/>
                <w:szCs w:val="17"/>
              </w:rPr>
              <w:t>RF03</w:t>
            </w:r>
          </w:p>
        </w:tc>
      </w:tr>
      <w:tr w:rsidR="001522EB" w14:paraId="6DE7E3B3" w14:textId="77777777">
        <w:trPr>
          <w:cantSplit/>
          <w:jc w:val="center"/>
        </w:trPr>
        <w:tc>
          <w:tcPr>
            <w:tcW w:w="1800" w:type="dxa"/>
          </w:tcPr>
          <w:p w14:paraId="72E84CDF" w14:textId="77777777" w:rsidR="001522EB" w:rsidRDefault="0013026C">
            <w:r>
              <w:rPr>
                <w:b/>
                <w:bCs/>
                <w:color w:val="000000"/>
                <w:sz w:val="17"/>
                <w:szCs w:val="17"/>
              </w:rPr>
              <w:t>ms</w:t>
            </w:r>
            <w:r>
              <w:rPr>
                <w:b/>
                <w:bCs/>
                <w:color w:val="000000"/>
                <w:sz w:val="17"/>
                <w:szCs w:val="17"/>
              </w:rPr>
              <w:noBreakHyphen/>
              <w:t>compras</w:t>
            </w:r>
          </w:p>
        </w:tc>
        <w:tc>
          <w:tcPr>
            <w:tcW w:w="1350" w:type="dxa"/>
          </w:tcPr>
          <w:p w14:paraId="54D9F06F" w14:textId="77777777" w:rsidR="001522EB" w:rsidRDefault="0013026C">
            <w:r>
              <w:rPr>
                <w:color w:val="000000"/>
                <w:sz w:val="17"/>
                <w:szCs w:val="17"/>
              </w:rPr>
              <w:t>Órdenes de compra</w:t>
            </w:r>
          </w:p>
        </w:tc>
        <w:tc>
          <w:tcPr>
            <w:tcW w:w="2600" w:type="dxa"/>
          </w:tcPr>
          <w:p w14:paraId="47E9C20B" w14:textId="77777777" w:rsidR="001522EB" w:rsidRDefault="0013026C">
            <w:r>
              <w:rPr>
                <w:color w:val="000000"/>
                <w:sz w:val="17"/>
                <w:szCs w:val="17"/>
              </w:rPr>
              <w:t>Ciclo de compra a proveedor: crear, aprobar y recibir mercancía, y devoluciones a proveedores.</w:t>
            </w:r>
          </w:p>
        </w:tc>
        <w:tc>
          <w:tcPr>
            <w:tcW w:w="1600" w:type="dxa"/>
          </w:tcPr>
          <w:p w14:paraId="6DC5F32A" w14:textId="77777777" w:rsidR="001522EB" w:rsidRDefault="0013026C">
            <w:r>
              <w:rPr>
                <w:color w:val="000000"/>
                <w:sz w:val="17"/>
                <w:szCs w:val="17"/>
              </w:rPr>
              <w:t>OrdenCompra, DetalleOrden, Recepción, Devolución</w:t>
            </w:r>
          </w:p>
        </w:tc>
        <w:tc>
          <w:tcPr>
            <w:tcW w:w="1400" w:type="dxa"/>
          </w:tcPr>
          <w:p w14:paraId="5E0E83EC" w14:textId="77777777" w:rsidR="001522EB" w:rsidRDefault="0013026C">
            <w:r>
              <w:rPr>
                <w:color w:val="000000"/>
                <w:sz w:val="17"/>
                <w:szCs w:val="17"/>
              </w:rPr>
              <w:t>RF06, RF13 (proveedores)</w:t>
            </w:r>
          </w:p>
        </w:tc>
      </w:tr>
      <w:tr w:rsidR="001522EB" w14:paraId="4DD4A05C" w14:textId="77777777">
        <w:trPr>
          <w:cantSplit/>
          <w:jc w:val="center"/>
        </w:trPr>
        <w:tc>
          <w:tcPr>
            <w:tcW w:w="1800" w:type="dxa"/>
          </w:tcPr>
          <w:p w14:paraId="74174A9A" w14:textId="77777777" w:rsidR="001522EB" w:rsidRDefault="0013026C">
            <w:r>
              <w:rPr>
                <w:b/>
                <w:bCs/>
                <w:color w:val="000000"/>
                <w:sz w:val="17"/>
                <w:szCs w:val="17"/>
              </w:rPr>
              <w:t>ms</w:t>
            </w:r>
            <w:r>
              <w:rPr>
                <w:b/>
                <w:bCs/>
                <w:color w:val="000000"/>
                <w:sz w:val="17"/>
                <w:szCs w:val="17"/>
              </w:rPr>
              <w:noBreakHyphen/>
              <w:t>notificaciones</w:t>
            </w:r>
          </w:p>
        </w:tc>
        <w:tc>
          <w:tcPr>
            <w:tcW w:w="1350" w:type="dxa"/>
          </w:tcPr>
          <w:p w14:paraId="3C95EA76" w14:textId="77777777" w:rsidR="001522EB" w:rsidRDefault="0013026C">
            <w:r>
              <w:rPr>
                <w:color w:val="000000"/>
                <w:sz w:val="17"/>
                <w:szCs w:val="17"/>
              </w:rPr>
              <w:t>Alertas</w:t>
            </w:r>
          </w:p>
        </w:tc>
        <w:tc>
          <w:tcPr>
            <w:tcW w:w="2600" w:type="dxa"/>
          </w:tcPr>
          <w:p w14:paraId="5E5075BA" w14:textId="77777777" w:rsidR="001522EB" w:rsidRDefault="0013026C">
            <w:r>
              <w:rPr>
                <w:color w:val="000000"/>
                <w:sz w:val="17"/>
                <w:szCs w:val="17"/>
              </w:rPr>
              <w:t>Notificar a los responsables las alertas de stock bajo que publica ms</w:t>
            </w:r>
            <w:r>
              <w:rPr>
                <w:color w:val="000000"/>
                <w:sz w:val="17"/>
                <w:szCs w:val="17"/>
              </w:rPr>
              <w:noBreakHyphen/>
              <w:t>inventario.</w:t>
            </w:r>
          </w:p>
        </w:tc>
        <w:tc>
          <w:tcPr>
            <w:tcW w:w="1600" w:type="dxa"/>
          </w:tcPr>
          <w:p w14:paraId="4FC137A3" w14:textId="77777777" w:rsidR="001522EB" w:rsidRDefault="0013026C">
            <w:r>
              <w:rPr>
                <w:color w:val="000000"/>
                <w:sz w:val="17"/>
                <w:szCs w:val="17"/>
              </w:rPr>
              <w:t>Alerta, Notificación</w:t>
            </w:r>
          </w:p>
        </w:tc>
        <w:tc>
          <w:tcPr>
            <w:tcW w:w="1400" w:type="dxa"/>
          </w:tcPr>
          <w:p w14:paraId="4280449A" w14:textId="77777777" w:rsidR="001522EB" w:rsidRDefault="0013026C">
            <w:r>
              <w:rPr>
                <w:color w:val="000000"/>
                <w:sz w:val="17"/>
                <w:szCs w:val="17"/>
              </w:rPr>
              <w:t>RF09 (notificación)</w:t>
            </w:r>
          </w:p>
        </w:tc>
      </w:tr>
      <w:tr w:rsidR="001522EB" w14:paraId="268B4217" w14:textId="77777777">
        <w:trPr>
          <w:cantSplit/>
          <w:jc w:val="center"/>
        </w:trPr>
        <w:tc>
          <w:tcPr>
            <w:tcW w:w="1800" w:type="dxa"/>
          </w:tcPr>
          <w:p w14:paraId="7118D025" w14:textId="77777777" w:rsidR="001522EB" w:rsidRDefault="0013026C">
            <w:pPr>
              <w:keepNext/>
            </w:pPr>
            <w:r>
              <w:rPr>
                <w:b/>
                <w:bCs/>
                <w:color w:val="000000"/>
                <w:sz w:val="17"/>
                <w:szCs w:val="17"/>
              </w:rPr>
              <w:t>ms</w:t>
            </w:r>
            <w:r>
              <w:rPr>
                <w:b/>
                <w:bCs/>
                <w:color w:val="000000"/>
                <w:sz w:val="17"/>
                <w:szCs w:val="17"/>
              </w:rPr>
              <w:noBreakHyphen/>
              <w:t>reportes</w:t>
            </w:r>
          </w:p>
        </w:tc>
        <w:tc>
          <w:tcPr>
            <w:tcW w:w="1350" w:type="dxa"/>
          </w:tcPr>
          <w:p w14:paraId="5FF61CC4" w14:textId="77777777" w:rsidR="001522EB" w:rsidRDefault="0013026C">
            <w:pPr>
              <w:keepNext/>
            </w:pPr>
            <w:r>
              <w:rPr>
                <w:color w:val="000000"/>
                <w:sz w:val="17"/>
                <w:szCs w:val="17"/>
              </w:rPr>
              <w:t>Analítica / BI</w:t>
            </w:r>
          </w:p>
        </w:tc>
        <w:tc>
          <w:tcPr>
            <w:tcW w:w="2600" w:type="dxa"/>
          </w:tcPr>
          <w:p w14:paraId="7FBA78D2" w14:textId="77777777" w:rsidR="001522EB" w:rsidRDefault="0013026C">
            <w:pPr>
              <w:keepNext/>
            </w:pPr>
            <w:r>
              <w:rPr>
                <w:color w:val="000000"/>
                <w:sz w:val="17"/>
                <w:szCs w:val="17"/>
              </w:rPr>
              <w:t>Reportes agregados y dashboard de indicadores.</w:t>
            </w:r>
          </w:p>
        </w:tc>
        <w:tc>
          <w:tcPr>
            <w:tcW w:w="1600" w:type="dxa"/>
          </w:tcPr>
          <w:p w14:paraId="2FBA0687" w14:textId="77777777" w:rsidR="001522EB" w:rsidRDefault="0013026C">
            <w:pPr>
              <w:keepNext/>
            </w:pPr>
            <w:r>
              <w:rPr>
                <w:color w:val="000000"/>
                <w:sz w:val="17"/>
                <w:szCs w:val="17"/>
              </w:rPr>
              <w:t>VistaReporte, Indicador</w:t>
            </w:r>
          </w:p>
        </w:tc>
        <w:tc>
          <w:tcPr>
            <w:tcW w:w="1400" w:type="dxa"/>
          </w:tcPr>
          <w:p w14:paraId="0E9934CC" w14:textId="77777777" w:rsidR="001522EB" w:rsidRDefault="0013026C">
            <w:pPr>
              <w:keepNext/>
            </w:pPr>
            <w:r>
              <w:rPr>
                <w:color w:val="000000"/>
                <w:sz w:val="17"/>
                <w:szCs w:val="17"/>
              </w:rPr>
              <w:t>RF11, RF14</w:t>
            </w:r>
          </w:p>
        </w:tc>
      </w:tr>
    </w:tbl>
    <w:p w14:paraId="477326E0" w14:textId="77777777" w:rsidR="001522EB" w:rsidRDefault="0013026C">
      <w:pPr>
        <w:spacing w:before="60" w:after="240" w:line="240" w:lineRule="auto"/>
      </w:pPr>
      <w:r>
        <w:rPr>
          <w:color w:val="000000"/>
          <w:sz w:val="18"/>
          <w:szCs w:val="18"/>
        </w:rPr>
        <w:t>Fuente: elaboración propia.</w:t>
      </w:r>
    </w:p>
    <w:p w14:paraId="27A733E5" w14:textId="77777777" w:rsidR="001522EB" w:rsidRDefault="0013026C">
      <w:pPr>
        <w:spacing w:after="240" w:line="360" w:lineRule="auto"/>
        <w:jc w:val="both"/>
      </w:pPr>
      <w:r>
        <w:rPr>
          <w:b/>
          <w:bCs/>
          <w:color w:val="000000"/>
        </w:rPr>
        <w:t>El API Gateway como contexto de identidad y acceso.</w:t>
      </w:r>
      <w:r>
        <w:rPr>
          <w:color w:val="000000"/>
        </w:rPr>
        <w:t xml:space="preserve"> El gateway no aparece en la tabla porque no es un microservicio de negocio, pero cumple dos funciones. Es el punto único de entrada: enruta cada petición al microservicio correspondiente y se identifica ante él con un token de servicio (RNF03, RNF10). Y es el dueño de la identidad: guarda en su propia base de datos los usuarios, roles y permisos (RF07), emite, verifica y revoca los tokens de Sanctum (RF08, RNF08) y aplica el control de acceso por roles (RNF09). Por eso no existe un microservicio de usuario</w:t>
      </w:r>
      <w:r>
        <w:rPr>
          <w:color w:val="000000"/>
        </w:rPr>
        <w:t>s.</w:t>
      </w:r>
    </w:p>
    <w:p w14:paraId="547EADD5" w14:textId="77777777" w:rsidR="001522EB" w:rsidRDefault="0013026C">
      <w:pPr>
        <w:spacing w:after="240" w:line="360" w:lineRule="auto"/>
        <w:jc w:val="both"/>
      </w:pPr>
      <w:r>
        <w:rPr>
          <w:color w:val="000000"/>
        </w:rPr>
        <w:t>La búsqueda y el filtrado (RF12) se resuelven en cada servicio sobre sus propios listados; ms</w:t>
      </w:r>
      <w:r>
        <w:rPr>
          <w:color w:val="000000"/>
        </w:rPr>
        <w:noBreakHyphen/>
        <w:t>productos atiende la búsqueda de productos.</w:t>
      </w:r>
    </w:p>
    <w:p w14:paraId="1ADFB5D3" w14:textId="77777777" w:rsidR="001522EB" w:rsidRDefault="0013026C">
      <w:pPr>
        <w:pStyle w:val="Ttulo2"/>
        <w:numPr>
          <w:ilvl w:val="1"/>
          <w:numId w:val="3"/>
        </w:numPr>
      </w:pPr>
      <w:bookmarkStart w:id="26" w:name="_Toc243333083"/>
      <w:r>
        <w:t>Justificación técnica de la separación</w:t>
      </w:r>
      <w:bookmarkEnd w:id="26"/>
    </w:p>
    <w:p w14:paraId="134F1348" w14:textId="77777777" w:rsidR="001522EB" w:rsidRDefault="0013026C">
      <w:pPr>
        <w:numPr>
          <w:ilvl w:val="0"/>
          <w:numId w:val="2"/>
        </w:numPr>
        <w:spacing w:after="120" w:line="360" w:lineRule="auto"/>
        <w:jc w:val="both"/>
      </w:pPr>
      <w:r>
        <w:rPr>
          <w:b/>
          <w:bCs/>
          <w:color w:val="000000"/>
        </w:rPr>
        <w:t>ms</w:t>
      </w:r>
      <w:r>
        <w:rPr>
          <w:b/>
          <w:bCs/>
          <w:color w:val="000000"/>
        </w:rPr>
        <w:noBreakHyphen/>
        <w:t>productos frente a ms</w:t>
      </w:r>
      <w:r>
        <w:rPr>
          <w:b/>
          <w:bCs/>
          <w:color w:val="000000"/>
        </w:rPr>
        <w:noBreakHyphen/>
        <w:t>inventario.</w:t>
      </w:r>
      <w:r>
        <w:rPr>
          <w:color w:val="000000"/>
        </w:rPr>
        <w:t xml:space="preserve"> Aunque ambos hablan de «producto», el catálogo cambia poco (nuevo producto, cambio de precio), mientras que el stock cambia constantemente (cada entrada, salida o ajuste). Separarlos permite escalar solo ms</w:t>
      </w:r>
      <w:r>
        <w:rPr>
          <w:color w:val="000000"/>
        </w:rPr>
        <w:noBreakHyphen/>
        <w:t>inventario bajo carga alta (RNF05), sin sobrecargar el catálogo.</w:t>
      </w:r>
    </w:p>
    <w:p w14:paraId="5BA36A66" w14:textId="77777777" w:rsidR="001522EB" w:rsidRDefault="0013026C">
      <w:pPr>
        <w:numPr>
          <w:ilvl w:val="0"/>
          <w:numId w:val="2"/>
        </w:numPr>
        <w:spacing w:after="120" w:line="360" w:lineRule="auto"/>
        <w:jc w:val="both"/>
      </w:pPr>
      <w:r>
        <w:rPr>
          <w:b/>
          <w:bCs/>
          <w:color w:val="000000"/>
        </w:rPr>
        <w:t>ms</w:t>
      </w:r>
      <w:r>
        <w:rPr>
          <w:b/>
          <w:bCs/>
          <w:color w:val="000000"/>
        </w:rPr>
        <w:noBreakHyphen/>
      </w:r>
      <w:r>
        <w:rPr>
          <w:b/>
          <w:bCs/>
          <w:color w:val="000000"/>
        </w:rPr>
        <w:t>proveedores frente a ms</w:t>
      </w:r>
      <w:r>
        <w:rPr>
          <w:b/>
          <w:bCs/>
          <w:color w:val="000000"/>
        </w:rPr>
        <w:noBreakHyphen/>
        <w:t>compras.</w:t>
      </w:r>
      <w:r>
        <w:rPr>
          <w:color w:val="000000"/>
        </w:rPr>
        <w:t xml:space="preserve"> El maestro de proveedores es un dato relativamente estático; el ciclo de compra es un proceso con estados (creada → aprobada → recibida). Tienen tasas de cambio distintas, por lo que se separan.</w:t>
      </w:r>
    </w:p>
    <w:p w14:paraId="2735C291" w14:textId="77777777" w:rsidR="001522EB" w:rsidRDefault="0013026C">
      <w:pPr>
        <w:numPr>
          <w:ilvl w:val="0"/>
          <w:numId w:val="2"/>
        </w:numPr>
        <w:spacing w:after="120" w:line="360" w:lineRule="auto"/>
        <w:jc w:val="both"/>
      </w:pPr>
      <w:r>
        <w:rPr>
          <w:b/>
          <w:bCs/>
          <w:color w:val="000000"/>
        </w:rPr>
        <w:t>Usuarios y autenticación en el API Gateway, no en un microservicio aparte.</w:t>
      </w:r>
      <w:r>
        <w:rPr>
          <w:color w:val="000000"/>
        </w:rPr>
        <w:t xml:space="preserve"> Sanctum guarda los tokens en la base de datos de la aplicación que los emite, junto al modelo de usuario. Como el gateway autentica cada petición, tener allí los usuarios y los roles evita una llamada síncrona adicional por petición y un servicio del que dependerían todos los demás. Además, la autenticación es una función transversal que conviene delegar al gateway (Microsoft, 2025), y así ningún microservicio duplica esa lógica.</w:t>
      </w:r>
    </w:p>
    <w:p w14:paraId="547603A6" w14:textId="77777777" w:rsidR="001522EB" w:rsidRDefault="0013026C">
      <w:pPr>
        <w:numPr>
          <w:ilvl w:val="0"/>
          <w:numId w:val="2"/>
        </w:numPr>
        <w:spacing w:after="240" w:line="360" w:lineRule="auto"/>
        <w:jc w:val="both"/>
      </w:pPr>
      <w:r>
        <w:rPr>
          <w:b/>
          <w:bCs/>
          <w:color w:val="000000"/>
        </w:rPr>
        <w:t>ms</w:t>
      </w:r>
      <w:r>
        <w:rPr>
          <w:b/>
          <w:bCs/>
          <w:color w:val="000000"/>
        </w:rPr>
        <w:noBreakHyphen/>
        <w:t>notificaciones y ms</w:t>
      </w:r>
      <w:r>
        <w:rPr>
          <w:b/>
          <w:bCs/>
          <w:color w:val="000000"/>
        </w:rPr>
        <w:noBreakHyphen/>
        <w:t>reportes como servicios reactivos.</w:t>
      </w:r>
      <w:r>
        <w:rPr>
          <w:color w:val="000000"/>
        </w:rPr>
        <w:t xml:space="preserve"> No generan datos propios de negocio: consumen eventos o datos de otros servicios. Esto es clave para el diseño de la comunicación (sección 5.4).</w:t>
      </w:r>
    </w:p>
    <w:p w14:paraId="4E76E260" w14:textId="77777777" w:rsidR="001522EB" w:rsidRDefault="0013026C">
      <w:pPr>
        <w:pStyle w:val="Ttulo2"/>
        <w:numPr>
          <w:ilvl w:val="1"/>
          <w:numId w:val="3"/>
        </w:numPr>
      </w:pPr>
      <w:bookmarkStart w:id="27" w:name="_Toc243333084"/>
      <w:r>
        <w:t>Comunicación entre contextos delimitados</w:t>
      </w:r>
      <w:bookmarkEnd w:id="27"/>
    </w:p>
    <w:p w14:paraId="41D76C5E" w14:textId="77777777" w:rsidR="001522EB" w:rsidRDefault="0013026C">
      <w:pPr>
        <w:spacing w:after="240" w:line="360" w:lineRule="auto"/>
        <w:jc w:val="both"/>
      </w:pPr>
      <w:r>
        <w:rPr>
          <w:color w:val="000000"/>
        </w:rPr>
        <w:t>La Tabla 8 muestra el mapa de contexto: qué servicio depende de cuál, si la comunicación es síncrona o asíncrona y por qué.</w:t>
      </w:r>
    </w:p>
    <w:p w14:paraId="006536C8" w14:textId="77777777" w:rsidR="001522EB" w:rsidRDefault="0013026C">
      <w:pPr>
        <w:keepNext/>
        <w:tabs>
          <w:tab w:val="left" w:pos="1134"/>
        </w:tabs>
        <w:spacing w:before="240" w:after="120" w:line="240" w:lineRule="auto"/>
        <w:ind w:left="1134" w:hanging="1134"/>
      </w:pPr>
      <w:r>
        <w:rPr>
          <w:b/>
          <w:bCs/>
          <w:color w:val="000000"/>
        </w:rPr>
        <w:t>Tabla 8:</w:t>
      </w:r>
      <w:r>
        <w:tab/>
      </w:r>
      <w:r>
        <w:rPr>
          <w:color w:val="000000"/>
        </w:rPr>
        <w:t>Comunicación entre contextos delimitados.</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300"/>
        <w:gridCol w:w="2350"/>
        <w:gridCol w:w="4100"/>
      </w:tblGrid>
      <w:tr w:rsidR="001522EB" w14:paraId="1A610F8E" w14:textId="77777777">
        <w:trPr>
          <w:cantSplit/>
          <w:tblHeader/>
          <w:jc w:val="center"/>
        </w:trPr>
        <w:tc>
          <w:tcPr>
            <w:tcW w:w="2300" w:type="dxa"/>
            <w:shd w:val="clear" w:color="auto" w:fill="D9D9D9"/>
            <w:vAlign w:val="center"/>
          </w:tcPr>
          <w:p w14:paraId="45F347F6" w14:textId="77777777" w:rsidR="001522EB" w:rsidRDefault="0013026C">
            <w:pPr>
              <w:jc w:val="center"/>
            </w:pPr>
            <w:r>
              <w:rPr>
                <w:b/>
                <w:bCs/>
                <w:color w:val="000000"/>
                <w:sz w:val="18"/>
                <w:szCs w:val="18"/>
              </w:rPr>
              <w:t>Relación</w:t>
            </w:r>
          </w:p>
        </w:tc>
        <w:tc>
          <w:tcPr>
            <w:tcW w:w="2350" w:type="dxa"/>
            <w:shd w:val="clear" w:color="auto" w:fill="D9D9D9"/>
            <w:vAlign w:val="center"/>
          </w:tcPr>
          <w:p w14:paraId="211C6FC7" w14:textId="77777777" w:rsidR="001522EB" w:rsidRDefault="0013026C">
            <w:pPr>
              <w:jc w:val="center"/>
            </w:pPr>
            <w:r>
              <w:rPr>
                <w:b/>
                <w:bCs/>
                <w:color w:val="000000"/>
                <w:sz w:val="18"/>
                <w:szCs w:val="18"/>
              </w:rPr>
              <w:t>Tipo</w:t>
            </w:r>
          </w:p>
        </w:tc>
        <w:tc>
          <w:tcPr>
            <w:tcW w:w="4100" w:type="dxa"/>
            <w:shd w:val="clear" w:color="auto" w:fill="D9D9D9"/>
            <w:vAlign w:val="center"/>
          </w:tcPr>
          <w:p w14:paraId="5AF8EB20" w14:textId="77777777" w:rsidR="001522EB" w:rsidRDefault="0013026C">
            <w:pPr>
              <w:jc w:val="center"/>
            </w:pPr>
            <w:r>
              <w:rPr>
                <w:b/>
                <w:bCs/>
                <w:color w:val="000000"/>
                <w:sz w:val="18"/>
                <w:szCs w:val="18"/>
              </w:rPr>
              <w:t>Justificación</w:t>
            </w:r>
          </w:p>
        </w:tc>
      </w:tr>
      <w:tr w:rsidR="001522EB" w14:paraId="79B15775" w14:textId="77777777">
        <w:trPr>
          <w:cantSplit/>
          <w:jc w:val="center"/>
        </w:trPr>
        <w:tc>
          <w:tcPr>
            <w:tcW w:w="2300" w:type="dxa"/>
          </w:tcPr>
          <w:p w14:paraId="189E87C4" w14:textId="77777777" w:rsidR="001522EB" w:rsidRDefault="0013026C">
            <w:r>
              <w:rPr>
                <w:color w:val="000000"/>
                <w:sz w:val="18"/>
                <w:szCs w:val="18"/>
              </w:rPr>
              <w:t>API Gateway → (todos)</w:t>
            </w:r>
          </w:p>
        </w:tc>
        <w:tc>
          <w:tcPr>
            <w:tcW w:w="2350" w:type="dxa"/>
          </w:tcPr>
          <w:p w14:paraId="14CB2121" w14:textId="77777777" w:rsidR="001522EB" w:rsidRDefault="0013026C">
            <w:r>
              <w:rPr>
                <w:color w:val="000000"/>
                <w:sz w:val="18"/>
                <w:szCs w:val="18"/>
              </w:rPr>
              <w:t>Síncrona (REST) con token de servicio</w:t>
            </w:r>
          </w:p>
        </w:tc>
        <w:tc>
          <w:tcPr>
            <w:tcW w:w="4100" w:type="dxa"/>
          </w:tcPr>
          <w:p w14:paraId="4FC2A7EF" w14:textId="77777777" w:rsidR="001522EB" w:rsidRDefault="0013026C">
            <w:r>
              <w:rPr>
                <w:color w:val="000000"/>
                <w:sz w:val="18"/>
                <w:szCs w:val="18"/>
              </w:rPr>
              <w:t>Único punto de entrada: verifica el token de Sanctum y el rol del usuario, y reenvía la petición al microservicio correspondiente con la identidad del usuario, que los servicios necesitan para auditar (RF10) (RNF03, RNF10).</w:t>
            </w:r>
          </w:p>
        </w:tc>
      </w:tr>
      <w:tr w:rsidR="001522EB" w14:paraId="4973A920" w14:textId="77777777">
        <w:trPr>
          <w:cantSplit/>
          <w:jc w:val="center"/>
        </w:trPr>
        <w:tc>
          <w:tcPr>
            <w:tcW w:w="2300" w:type="dxa"/>
          </w:tcPr>
          <w:p w14:paraId="23752954" w14:textId="77777777" w:rsidR="001522EB" w:rsidRDefault="0013026C">
            <w:r>
              <w:rPr>
                <w:color w:val="000000"/>
                <w:sz w:val="18"/>
                <w:szCs w:val="18"/>
              </w:rPr>
              <w:t>ms</w:t>
            </w:r>
            <w:r>
              <w:rPr>
                <w:color w:val="000000"/>
                <w:sz w:val="18"/>
                <w:szCs w:val="18"/>
              </w:rPr>
              <w:noBreakHyphen/>
              <w:t>inventario → ms</w:t>
            </w:r>
            <w:r>
              <w:rPr>
                <w:color w:val="000000"/>
                <w:sz w:val="18"/>
                <w:szCs w:val="18"/>
              </w:rPr>
              <w:noBreakHyphen/>
              <w:t>productos</w:t>
            </w:r>
          </w:p>
        </w:tc>
        <w:tc>
          <w:tcPr>
            <w:tcW w:w="2350" w:type="dxa"/>
          </w:tcPr>
          <w:p w14:paraId="60BF3EE0" w14:textId="77777777" w:rsidR="001522EB" w:rsidRDefault="0013026C">
            <w:r>
              <w:rPr>
                <w:color w:val="000000"/>
                <w:sz w:val="18"/>
                <w:szCs w:val="18"/>
              </w:rPr>
              <w:t>Síncrona (REST), consulta</w:t>
            </w:r>
          </w:p>
        </w:tc>
        <w:tc>
          <w:tcPr>
            <w:tcW w:w="4100" w:type="dxa"/>
          </w:tcPr>
          <w:p w14:paraId="23DBFC88" w14:textId="77777777" w:rsidR="001522EB" w:rsidRDefault="0013026C">
            <w:r>
              <w:rPr>
                <w:color w:val="000000"/>
                <w:sz w:val="18"/>
                <w:szCs w:val="18"/>
              </w:rPr>
              <w:t>Antes de registrar un movimiento, ms</w:t>
            </w:r>
            <w:r>
              <w:rPr>
                <w:color w:val="000000"/>
                <w:sz w:val="18"/>
                <w:szCs w:val="18"/>
              </w:rPr>
              <w:noBreakHyphen/>
              <w:t>inventario valida que el producto exista.</w:t>
            </w:r>
          </w:p>
        </w:tc>
      </w:tr>
      <w:tr w:rsidR="001522EB" w14:paraId="33D4FFAB" w14:textId="77777777">
        <w:trPr>
          <w:cantSplit/>
          <w:jc w:val="center"/>
        </w:trPr>
        <w:tc>
          <w:tcPr>
            <w:tcW w:w="2300" w:type="dxa"/>
          </w:tcPr>
          <w:p w14:paraId="752C018B" w14:textId="77777777" w:rsidR="001522EB" w:rsidRDefault="0013026C">
            <w:r>
              <w:rPr>
                <w:color w:val="000000"/>
                <w:sz w:val="18"/>
                <w:szCs w:val="18"/>
              </w:rPr>
              <w:t>ms</w:t>
            </w:r>
            <w:r>
              <w:rPr>
                <w:color w:val="000000"/>
                <w:sz w:val="18"/>
                <w:szCs w:val="18"/>
              </w:rPr>
              <w:noBreakHyphen/>
              <w:t>compras → ms</w:t>
            </w:r>
            <w:r>
              <w:rPr>
                <w:color w:val="000000"/>
                <w:sz w:val="18"/>
                <w:szCs w:val="18"/>
              </w:rPr>
              <w:noBreakHyphen/>
              <w:t>proveedores</w:t>
            </w:r>
          </w:p>
        </w:tc>
        <w:tc>
          <w:tcPr>
            <w:tcW w:w="2350" w:type="dxa"/>
          </w:tcPr>
          <w:p w14:paraId="3444384B" w14:textId="77777777" w:rsidR="001522EB" w:rsidRDefault="0013026C">
            <w:r>
              <w:rPr>
                <w:color w:val="000000"/>
                <w:sz w:val="18"/>
                <w:szCs w:val="18"/>
              </w:rPr>
              <w:t>Síncrona (REST), consulta</w:t>
            </w:r>
          </w:p>
        </w:tc>
        <w:tc>
          <w:tcPr>
            <w:tcW w:w="4100" w:type="dxa"/>
          </w:tcPr>
          <w:p w14:paraId="38306665" w14:textId="77777777" w:rsidR="001522EB" w:rsidRDefault="0013026C">
            <w:r>
              <w:rPr>
                <w:color w:val="000000"/>
                <w:sz w:val="18"/>
                <w:szCs w:val="18"/>
              </w:rPr>
              <w:t>Al crear una orden de compra se valida que el proveedor exista y esté activo (RF03).</w:t>
            </w:r>
          </w:p>
        </w:tc>
      </w:tr>
      <w:tr w:rsidR="001522EB" w14:paraId="3C64A33A" w14:textId="77777777">
        <w:trPr>
          <w:cantSplit/>
          <w:jc w:val="center"/>
        </w:trPr>
        <w:tc>
          <w:tcPr>
            <w:tcW w:w="2300" w:type="dxa"/>
          </w:tcPr>
          <w:p w14:paraId="0D6107D5" w14:textId="77777777" w:rsidR="001522EB" w:rsidRDefault="0013026C">
            <w:r>
              <w:rPr>
                <w:color w:val="000000"/>
                <w:sz w:val="18"/>
                <w:szCs w:val="18"/>
              </w:rPr>
              <w:t>ms</w:t>
            </w:r>
            <w:r>
              <w:rPr>
                <w:color w:val="000000"/>
                <w:sz w:val="18"/>
                <w:szCs w:val="18"/>
              </w:rPr>
              <w:noBreakHyphen/>
            </w:r>
            <w:r>
              <w:rPr>
                <w:color w:val="000000"/>
                <w:sz w:val="18"/>
                <w:szCs w:val="18"/>
              </w:rPr>
              <w:t>compras → ms</w:t>
            </w:r>
            <w:r>
              <w:rPr>
                <w:color w:val="000000"/>
                <w:sz w:val="18"/>
                <w:szCs w:val="18"/>
              </w:rPr>
              <w:noBreakHyphen/>
              <w:t>inventario</w:t>
            </w:r>
          </w:p>
        </w:tc>
        <w:tc>
          <w:tcPr>
            <w:tcW w:w="2350" w:type="dxa"/>
          </w:tcPr>
          <w:p w14:paraId="5E763F82" w14:textId="77777777" w:rsidR="001522EB" w:rsidRDefault="0013026C">
            <w:r>
              <w:rPr>
                <w:color w:val="000000"/>
                <w:sz w:val="18"/>
                <w:szCs w:val="18"/>
              </w:rPr>
              <w:t>Asíncrona (evento MercanciaRecibida)</w:t>
            </w:r>
          </w:p>
        </w:tc>
        <w:tc>
          <w:tcPr>
            <w:tcW w:w="4100" w:type="dxa"/>
          </w:tcPr>
          <w:p w14:paraId="796F42DA" w14:textId="77777777" w:rsidR="001522EB" w:rsidRDefault="0013026C">
            <w:r>
              <w:rPr>
                <w:color w:val="000000"/>
                <w:sz w:val="18"/>
                <w:szCs w:val="18"/>
              </w:rPr>
              <w:t>Al recibir mercancía de una orden de compra se actualiza el stock sin acoplar ambos servicios.</w:t>
            </w:r>
          </w:p>
        </w:tc>
      </w:tr>
      <w:tr w:rsidR="001522EB" w14:paraId="23315B7F" w14:textId="77777777">
        <w:trPr>
          <w:cantSplit/>
          <w:jc w:val="center"/>
        </w:trPr>
        <w:tc>
          <w:tcPr>
            <w:tcW w:w="2300" w:type="dxa"/>
          </w:tcPr>
          <w:p w14:paraId="7BD6AFA0" w14:textId="77777777" w:rsidR="001522EB" w:rsidRDefault="0013026C">
            <w:r>
              <w:rPr>
                <w:color w:val="000000"/>
                <w:sz w:val="18"/>
                <w:szCs w:val="18"/>
              </w:rPr>
              <w:t>ms</w:t>
            </w:r>
            <w:r>
              <w:rPr>
                <w:color w:val="000000"/>
                <w:sz w:val="18"/>
                <w:szCs w:val="18"/>
              </w:rPr>
              <w:noBreakHyphen/>
              <w:t>inventario → ms</w:t>
            </w:r>
            <w:r>
              <w:rPr>
                <w:color w:val="000000"/>
                <w:sz w:val="18"/>
                <w:szCs w:val="18"/>
              </w:rPr>
              <w:noBreakHyphen/>
              <w:t>notificaciones</w:t>
            </w:r>
          </w:p>
        </w:tc>
        <w:tc>
          <w:tcPr>
            <w:tcW w:w="2350" w:type="dxa"/>
          </w:tcPr>
          <w:p w14:paraId="761C78DE" w14:textId="77777777" w:rsidR="001522EB" w:rsidRDefault="0013026C">
            <w:r>
              <w:rPr>
                <w:color w:val="000000"/>
                <w:sz w:val="18"/>
                <w:szCs w:val="18"/>
              </w:rPr>
              <w:t>Asíncrona (evento StockBajoUmbral)</w:t>
            </w:r>
          </w:p>
        </w:tc>
        <w:tc>
          <w:tcPr>
            <w:tcW w:w="4100" w:type="dxa"/>
          </w:tcPr>
          <w:p w14:paraId="3D55E4A5" w14:textId="77777777" w:rsidR="001522EB" w:rsidRDefault="0013026C">
            <w:r>
              <w:rPr>
                <w:color w:val="000000"/>
                <w:sz w:val="18"/>
                <w:szCs w:val="18"/>
              </w:rPr>
              <w:t>Separa la detección del umbral del envío de la alerta; si ms</w:t>
            </w:r>
            <w:r>
              <w:rPr>
                <w:color w:val="000000"/>
                <w:sz w:val="18"/>
                <w:szCs w:val="18"/>
              </w:rPr>
              <w:noBreakHyphen/>
              <w:t>notificaciones está caído, el inventario sigue funcionando.</w:t>
            </w:r>
          </w:p>
        </w:tc>
      </w:tr>
      <w:tr w:rsidR="001522EB" w14:paraId="1A618877" w14:textId="77777777">
        <w:trPr>
          <w:cantSplit/>
          <w:jc w:val="center"/>
        </w:trPr>
        <w:tc>
          <w:tcPr>
            <w:tcW w:w="2300" w:type="dxa"/>
          </w:tcPr>
          <w:p w14:paraId="378FCA8A" w14:textId="77777777" w:rsidR="001522EB" w:rsidRDefault="0013026C">
            <w:pPr>
              <w:keepNext/>
            </w:pPr>
            <w:r>
              <w:rPr>
                <w:color w:val="000000"/>
                <w:sz w:val="18"/>
                <w:szCs w:val="18"/>
              </w:rPr>
              <w:t>(todos) → ms</w:t>
            </w:r>
            <w:r>
              <w:rPr>
                <w:color w:val="000000"/>
                <w:sz w:val="18"/>
                <w:szCs w:val="18"/>
              </w:rPr>
              <w:noBreakHyphen/>
              <w:t>reportes</w:t>
            </w:r>
          </w:p>
        </w:tc>
        <w:tc>
          <w:tcPr>
            <w:tcW w:w="2350" w:type="dxa"/>
          </w:tcPr>
          <w:p w14:paraId="2259DAD7" w14:textId="77777777" w:rsidR="001522EB" w:rsidRDefault="0013026C">
            <w:pPr>
              <w:keepNext/>
            </w:pPr>
            <w:r>
              <w:rPr>
                <w:color w:val="000000"/>
                <w:sz w:val="18"/>
                <w:szCs w:val="18"/>
              </w:rPr>
              <w:t>Asíncrona (eventos) o consulta programada</w:t>
            </w:r>
          </w:p>
        </w:tc>
        <w:tc>
          <w:tcPr>
            <w:tcW w:w="4100" w:type="dxa"/>
          </w:tcPr>
          <w:p w14:paraId="6C2D2140" w14:textId="77777777" w:rsidR="001522EB" w:rsidRDefault="0013026C">
            <w:pPr>
              <w:keepNext/>
            </w:pPr>
            <w:r>
              <w:rPr>
                <w:color w:val="000000"/>
                <w:sz w:val="18"/>
                <w:szCs w:val="18"/>
              </w:rPr>
              <w:t>Los reportes no deben frenar las operaciones transaccionales de los demás servicios.</w:t>
            </w:r>
          </w:p>
        </w:tc>
      </w:tr>
    </w:tbl>
    <w:p w14:paraId="2ABD0C95" w14:textId="77777777" w:rsidR="001522EB" w:rsidRDefault="0013026C">
      <w:pPr>
        <w:spacing w:before="60" w:after="240" w:line="240" w:lineRule="auto"/>
      </w:pPr>
      <w:r>
        <w:rPr>
          <w:color w:val="000000"/>
          <w:sz w:val="18"/>
          <w:szCs w:val="18"/>
        </w:rPr>
        <w:t>Fuente: elaboración propia.</w:t>
      </w:r>
    </w:p>
    <w:p w14:paraId="31987151" w14:textId="77777777" w:rsidR="001522EB" w:rsidRDefault="0013026C">
      <w:pPr>
        <w:spacing w:after="240" w:line="360" w:lineRule="auto"/>
        <w:jc w:val="both"/>
      </w:pPr>
      <w:r>
        <w:rPr>
          <w:b/>
          <w:bCs/>
          <w:color w:val="000000"/>
        </w:rPr>
        <w:t>Decisión de diseño sobre las devoluciones (RF13).</w:t>
      </w:r>
      <w:r>
        <w:rPr>
          <w:color w:val="000000"/>
        </w:rPr>
        <w:t xml:space="preserve"> La funcionalidad se reparte entre dos servicios: ms</w:t>
      </w:r>
      <w:r>
        <w:rPr>
          <w:color w:val="000000"/>
        </w:rPr>
        <w:noBreakHyphen/>
        <w:t>compras registra la devolución a proveedor, porque siempre referencia una orden de compra recibida, y ms</w:t>
      </w:r>
      <w:r>
        <w:rPr>
          <w:color w:val="000000"/>
        </w:rPr>
        <w:noBreakHyphen/>
        <w:t>inventario registra la devolución de cliente, porque solo reingresa unidades al saldo con referencia a la factura del POS. La salida de stock que genera una devolución a proveedor se comunicará a ms</w:t>
      </w:r>
      <w:r>
        <w:rPr>
          <w:color w:val="000000"/>
        </w:rPr>
        <w:noBreakHyphen/>
        <w:t>inventario mediante un evento, que se especificará en la Entrega 2.</w:t>
      </w:r>
    </w:p>
    <w:p w14:paraId="40400B50" w14:textId="77777777" w:rsidR="001522EB" w:rsidRDefault="0013026C">
      <w:pPr>
        <w:pStyle w:val="Ttulo2"/>
        <w:numPr>
          <w:ilvl w:val="1"/>
          <w:numId w:val="3"/>
        </w:numPr>
      </w:pPr>
      <w:bookmarkStart w:id="28" w:name="_Toc243333085"/>
      <w:r>
        <w:t>Diagrama de contextos delimitados</w:t>
      </w:r>
      <w:bookmarkEnd w:id="28"/>
    </w:p>
    <w:p w14:paraId="73FEE290" w14:textId="77777777" w:rsidR="001522EB" w:rsidRDefault="0013026C">
      <w:pPr>
        <w:spacing w:after="240" w:line="360" w:lineRule="auto"/>
        <w:jc w:val="both"/>
      </w:pPr>
      <w:r>
        <w:rPr>
          <w:color w:val="000000"/>
        </w:rPr>
        <w:t>La Figura 1 resume el mapa de contextos delimitados. Todas las peticiones del cliente entran por el API Gateway propio, que autentica al usuario con su propia base de datos de usuarios, roles y tokens y reenvía la petición por REST al microservicio correspondiente.</w:t>
      </w:r>
    </w:p>
    <w:p w14:paraId="14469ABD" w14:textId="77777777" w:rsidR="001522EB" w:rsidRDefault="0013026C">
      <w:pPr>
        <w:keepNext/>
        <w:tabs>
          <w:tab w:val="left" w:pos="1134"/>
        </w:tabs>
        <w:spacing w:before="240" w:after="120" w:line="240" w:lineRule="auto"/>
        <w:ind w:left="1134" w:hanging="1134"/>
      </w:pPr>
      <w:r>
        <w:rPr>
          <w:b/>
          <w:bCs/>
          <w:color w:val="000000"/>
        </w:rPr>
        <w:t>Figura 1:</w:t>
      </w:r>
      <w:r>
        <w:tab/>
      </w:r>
      <w:r>
        <w:rPr>
          <w:color w:val="000000"/>
        </w:rPr>
        <w:t>Mapa de contextos delimitados del sistema.</w:t>
      </w:r>
    </w:p>
    <w:p w14:paraId="73AAF1D7" w14:textId="77777777" w:rsidR="001522EB" w:rsidRDefault="0013026C">
      <w:pPr>
        <w:keepNext/>
        <w:spacing w:after="60" w:line="240" w:lineRule="auto"/>
        <w:jc w:val="center"/>
      </w:pPr>
      <w:r>
        <w:rPr>
          <w:noProof/>
        </w:rPr>
        <w:drawing>
          <wp:inline distT="0" distB="0" distL="0" distR="0" wp14:anchorId="2125E6CA" wp14:editId="46138FDA">
            <wp:extent cx="5472000" cy="3556800"/>
            <wp:effectExtent l="0" t="0" r="0" b="0"/>
            <wp:docPr id="101" name="Figura 101" descr="Mapa de contextos delimitados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101.png"/>
                    <pic:cNvPicPr/>
                  </pic:nvPicPr>
                  <pic:blipFill>
                    <a:blip r:embed="rId8"/>
                    <a:stretch>
                      <a:fillRect/>
                    </a:stretch>
                  </pic:blipFill>
                  <pic:spPr>
                    <a:xfrm>
                      <a:off x="0" y="0"/>
                      <a:ext cx="5472000" cy="3556800"/>
                    </a:xfrm>
                    <a:prstGeom prst="rect">
                      <a:avLst/>
                    </a:prstGeom>
                  </pic:spPr>
                </pic:pic>
              </a:graphicData>
            </a:graphic>
          </wp:inline>
        </w:drawing>
      </w:r>
    </w:p>
    <w:p w14:paraId="000CB341" w14:textId="77777777" w:rsidR="001522EB" w:rsidRDefault="0013026C">
      <w:pPr>
        <w:spacing w:before="60" w:after="240" w:line="240" w:lineRule="auto"/>
      </w:pPr>
      <w:r>
        <w:rPr>
          <w:color w:val="000000"/>
          <w:sz w:val="18"/>
          <w:szCs w:val="18"/>
        </w:rPr>
        <w:t>Fuente: elaboración propia.</w:t>
      </w:r>
    </w:p>
    <w:p w14:paraId="024578B1" w14:textId="77777777" w:rsidR="001522EB" w:rsidRDefault="0013026C">
      <w:pPr>
        <w:spacing w:after="240" w:line="360" w:lineRule="auto"/>
        <w:jc w:val="both"/>
      </w:pPr>
      <w:r>
        <w:rPr>
          <w:color w:val="000000"/>
        </w:rPr>
        <w:t>Los seis microservicios se agrupan en tres familias: el núcleo del inventario (productos e inventario), la cadena de suministro (proveedores y compras) y los servicios reactivos (notificaciones y reportes). Las flechas continuas son las dos dependencias síncronas entre microservicios y las discontinuas, los eventos que viajan por la mensajería asíncrona, según la Tabla 8.</w:t>
      </w:r>
    </w:p>
    <w:p w14:paraId="3E33DAFF" w14:textId="77777777" w:rsidR="001522EB" w:rsidRDefault="0013026C">
      <w:pPr>
        <w:pStyle w:val="Ttulo1"/>
        <w:pageBreakBefore/>
        <w:numPr>
          <w:ilvl w:val="0"/>
          <w:numId w:val="3"/>
        </w:numPr>
      </w:pPr>
      <w:bookmarkStart w:id="29" w:name="_Toc243333086"/>
      <w:r>
        <w:t>Repositorio del proyecto</w:t>
      </w:r>
      <w:bookmarkEnd w:id="29"/>
    </w:p>
    <w:p w14:paraId="66652EB6" w14:textId="77777777" w:rsidR="001522EB" w:rsidRDefault="0013026C">
      <w:pPr>
        <w:spacing w:after="240" w:line="360" w:lineRule="auto"/>
        <w:jc w:val="both"/>
      </w:pPr>
      <w:r>
        <w:rPr>
          <w:color w:val="000000"/>
        </w:rPr>
        <w:t xml:space="preserve">El proyecto se aloja en el repositorio de GitHub del equipo: </w:t>
      </w:r>
      <w:hyperlink r:id="rId9" w:history="1">
        <w:r>
          <w:rPr>
            <w:rStyle w:val="Hipervnculo"/>
          </w:rPr>
          <w:t>https://github.com/osgomezmo/sistema-inventarios-project</w:t>
        </w:r>
      </w:hyperlink>
      <w:r>
        <w:rPr>
          <w:color w:val="000000"/>
        </w:rPr>
        <w:t>. Allí se versionan el código fuente, la configuración de contenedores, los manifiestos de Kubernetes, la documentación y las bitácoras de uso de IA (RNF16). El repositorio usa la siguiente estrategia de ramas:</w:t>
      </w:r>
    </w:p>
    <w:p w14:paraId="52BDEE15" w14:textId="77777777" w:rsidR="001522EB" w:rsidRDefault="0013026C">
      <w:pPr>
        <w:numPr>
          <w:ilvl w:val="0"/>
          <w:numId w:val="2"/>
        </w:numPr>
        <w:spacing w:after="120" w:line="360" w:lineRule="auto"/>
        <w:jc w:val="both"/>
      </w:pPr>
      <w:r>
        <w:rPr>
          <w:b/>
          <w:bCs/>
          <w:color w:val="000000"/>
        </w:rPr>
        <w:t>main:</w:t>
      </w:r>
      <w:r>
        <w:rPr>
          <w:color w:val="000000"/>
        </w:rPr>
        <w:t xml:space="preserve"> rama estable del proyecto.</w:t>
      </w:r>
    </w:p>
    <w:p w14:paraId="5B638008" w14:textId="77777777" w:rsidR="001522EB" w:rsidRDefault="0013026C">
      <w:pPr>
        <w:numPr>
          <w:ilvl w:val="0"/>
          <w:numId w:val="2"/>
        </w:numPr>
        <w:spacing w:after="120" w:line="360" w:lineRule="auto"/>
        <w:jc w:val="both"/>
      </w:pPr>
      <w:r>
        <w:rPr>
          <w:b/>
          <w:bCs/>
          <w:color w:val="000000"/>
        </w:rPr>
        <w:t>develop:</w:t>
      </w:r>
      <w:r>
        <w:rPr>
          <w:color w:val="000000"/>
        </w:rPr>
        <w:t xml:space="preserve"> rama de integración y rama por defecto del repositorio.</w:t>
      </w:r>
    </w:p>
    <w:p w14:paraId="13339C09" w14:textId="77777777" w:rsidR="001522EB" w:rsidRDefault="0013026C">
      <w:pPr>
        <w:numPr>
          <w:ilvl w:val="0"/>
          <w:numId w:val="2"/>
        </w:numPr>
        <w:spacing w:after="240" w:line="360" w:lineRule="auto"/>
        <w:jc w:val="both"/>
      </w:pPr>
      <w:r>
        <w:rPr>
          <w:b/>
          <w:bCs/>
          <w:color w:val="000000"/>
        </w:rPr>
        <w:t>andres, daniel y oscar:</w:t>
      </w:r>
      <w:r>
        <w:rPr>
          <w:color w:val="000000"/>
        </w:rPr>
        <w:t xml:space="preserve"> una rama por integrante. Cada uno integra su trabajo a develop mediante </w:t>
      </w:r>
      <w:r>
        <w:rPr>
          <w:i/>
          <w:iCs/>
          <w:color w:val="000000"/>
        </w:rPr>
        <w:t>pull requests</w:t>
      </w:r>
      <w:r>
        <w:rPr>
          <w:color w:val="000000"/>
        </w:rPr>
        <w:t>, lo que deja evidencia individual de commits, ramas y revisiones.</w:t>
      </w:r>
    </w:p>
    <w:p w14:paraId="3DF5B2AD" w14:textId="77777777" w:rsidR="001522EB" w:rsidRDefault="0013026C">
      <w:pPr>
        <w:spacing w:after="240" w:line="360" w:lineRule="auto"/>
        <w:jc w:val="both"/>
      </w:pPr>
      <w:r>
        <w:rPr>
          <w:color w:val="000000"/>
        </w:rPr>
        <w:t>Al cierre de esta fase, el repositorio contiene el proyecto base del API Gateway en Laravel (carpeta gateway), la estructura inicial de ms</w:t>
      </w:r>
      <w:r>
        <w:rPr>
          <w:color w:val="000000"/>
        </w:rPr>
        <w:noBreakHyphen/>
        <w:t>proveedores y ms</w:t>
      </w:r>
      <w:r>
        <w:rPr>
          <w:color w:val="000000"/>
        </w:rPr>
        <w:noBreakHyphen/>
        <w:t>compras en la rama daniel, el archivo README con los integrantes y la carpeta bitacora_ia con una bitácora de IA en Markdown por integrante.</w:t>
      </w:r>
    </w:p>
    <w:p w14:paraId="15D47389" w14:textId="77777777" w:rsidR="001522EB" w:rsidRDefault="0013026C">
      <w:pPr>
        <w:pStyle w:val="Ttulo1"/>
        <w:pageBreakBefore/>
        <w:numPr>
          <w:ilvl w:val="0"/>
          <w:numId w:val="3"/>
        </w:numPr>
      </w:pPr>
      <w:bookmarkStart w:id="30" w:name="_Toc243333087"/>
      <w:r>
        <w:t>Bitácora de uso de IA</w:t>
      </w:r>
      <w:bookmarkEnd w:id="30"/>
    </w:p>
    <w:p w14:paraId="12611CB3" w14:textId="77777777" w:rsidR="001522EB" w:rsidRDefault="0013026C">
      <w:pPr>
        <w:spacing w:after="240" w:line="360" w:lineRule="auto"/>
        <w:jc w:val="both"/>
      </w:pPr>
      <w:r>
        <w:rPr>
          <w:color w:val="000000"/>
        </w:rPr>
        <w:t>La bitácora sigue el formato de la sección 7 del enunciado del proyecto. Cada integrante registra sus interacciones con herramientas de IA en un archivo Markdown de la carpeta bitacora_ia del repositorio; este capítulo consolida las de la Entrega 1.</w:t>
      </w:r>
    </w:p>
    <w:p w14:paraId="3296AEE8" w14:textId="77777777" w:rsidR="001522EB" w:rsidRDefault="0013026C">
      <w:pPr>
        <w:pStyle w:val="Ttulo2"/>
        <w:numPr>
          <w:ilvl w:val="1"/>
          <w:numId w:val="3"/>
        </w:numPr>
      </w:pPr>
      <w:bookmarkStart w:id="31" w:name="_Toc243333088"/>
      <w:r>
        <w:t>Datos de la bitácora</w:t>
      </w:r>
      <w:bookmarkEnd w:id="31"/>
    </w:p>
    <w:p w14:paraId="59C0D6BE" w14:textId="77777777" w:rsidR="001522EB" w:rsidRDefault="0013026C">
      <w:pPr>
        <w:keepNext/>
        <w:tabs>
          <w:tab w:val="left" w:pos="1134"/>
        </w:tabs>
        <w:spacing w:before="240" w:after="120" w:line="240" w:lineRule="auto"/>
        <w:ind w:left="1134" w:hanging="1134"/>
      </w:pPr>
      <w:r>
        <w:rPr>
          <w:b/>
          <w:bCs/>
          <w:color w:val="000000"/>
        </w:rPr>
        <w:t>Tabla 9:</w:t>
      </w:r>
      <w:r>
        <w:tab/>
      </w:r>
      <w:r>
        <w:rPr>
          <w:color w:val="000000"/>
        </w:rPr>
        <w:t>Datos de la bitácora de uso de IA.</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85" w:type="dxa"/>
          <w:bottom w:w="45" w:type="dxa"/>
          <w:right w:w="85" w:type="dxa"/>
        </w:tblCellMar>
        <w:tblLook w:val="04A0" w:firstRow="1" w:lastRow="0" w:firstColumn="1" w:lastColumn="0" w:noHBand="0" w:noVBand="1"/>
      </w:tblPr>
      <w:tblGrid>
        <w:gridCol w:w="2600"/>
        <w:gridCol w:w="6150"/>
      </w:tblGrid>
      <w:tr w:rsidR="001522EB" w14:paraId="79A58F4D" w14:textId="77777777">
        <w:trPr>
          <w:cantSplit/>
          <w:jc w:val="center"/>
        </w:trPr>
        <w:tc>
          <w:tcPr>
            <w:tcW w:w="2600" w:type="dxa"/>
          </w:tcPr>
          <w:p w14:paraId="55FB1668" w14:textId="77777777" w:rsidR="001522EB" w:rsidRDefault="0013026C">
            <w:r>
              <w:rPr>
                <w:b/>
                <w:bCs/>
                <w:color w:val="000000"/>
                <w:sz w:val="19"/>
                <w:szCs w:val="19"/>
              </w:rPr>
              <w:t>Proyecto</w:t>
            </w:r>
          </w:p>
        </w:tc>
        <w:tc>
          <w:tcPr>
            <w:tcW w:w="6150" w:type="dxa"/>
          </w:tcPr>
          <w:p w14:paraId="1C977664" w14:textId="77777777" w:rsidR="001522EB" w:rsidRDefault="0013026C">
            <w:r>
              <w:rPr>
                <w:color w:val="000000"/>
                <w:sz w:val="19"/>
                <w:szCs w:val="19"/>
              </w:rPr>
              <w:t>Sistema de Gestión de Inventarios – Supermercado mediano (caso de estudio)</w:t>
            </w:r>
          </w:p>
        </w:tc>
      </w:tr>
      <w:tr w:rsidR="001522EB" w14:paraId="57F7F46B" w14:textId="77777777">
        <w:trPr>
          <w:cantSplit/>
          <w:jc w:val="center"/>
        </w:trPr>
        <w:tc>
          <w:tcPr>
            <w:tcW w:w="2600" w:type="dxa"/>
          </w:tcPr>
          <w:p w14:paraId="5F7766EB" w14:textId="77777777" w:rsidR="001522EB" w:rsidRDefault="0013026C">
            <w:r>
              <w:rPr>
                <w:b/>
                <w:bCs/>
                <w:color w:val="000000"/>
                <w:sz w:val="19"/>
                <w:szCs w:val="19"/>
              </w:rPr>
              <w:t>Equipo / Integrantes</w:t>
            </w:r>
          </w:p>
        </w:tc>
        <w:tc>
          <w:tcPr>
            <w:tcW w:w="6150" w:type="dxa"/>
          </w:tcPr>
          <w:p w14:paraId="02B43F95" w14:textId="77777777" w:rsidR="001522EB" w:rsidRDefault="0013026C">
            <w:r>
              <w:rPr>
                <w:color w:val="000000"/>
                <w:sz w:val="19"/>
                <w:szCs w:val="19"/>
              </w:rPr>
              <w:t>Daniel Stiven Bahamon Quintero, Oscar David Gomez Mosquera, Andrés Hernández</w:t>
            </w:r>
          </w:p>
        </w:tc>
      </w:tr>
      <w:tr w:rsidR="001522EB" w14:paraId="128E6B7D" w14:textId="77777777">
        <w:trPr>
          <w:cantSplit/>
          <w:jc w:val="center"/>
        </w:trPr>
        <w:tc>
          <w:tcPr>
            <w:tcW w:w="2600" w:type="dxa"/>
          </w:tcPr>
          <w:p w14:paraId="5E689D0A" w14:textId="77777777" w:rsidR="001522EB" w:rsidRDefault="0013026C">
            <w:r>
              <w:rPr>
                <w:b/>
                <w:bCs/>
                <w:color w:val="000000"/>
                <w:sz w:val="19"/>
                <w:szCs w:val="19"/>
              </w:rPr>
              <w:t>Entrega N.°</w:t>
            </w:r>
          </w:p>
        </w:tc>
        <w:tc>
          <w:tcPr>
            <w:tcW w:w="6150" w:type="dxa"/>
          </w:tcPr>
          <w:p w14:paraId="6E5D7640" w14:textId="77777777" w:rsidR="001522EB" w:rsidRDefault="0013026C">
            <w:r>
              <w:rPr>
                <w:color w:val="000000"/>
                <w:sz w:val="19"/>
                <w:szCs w:val="19"/>
              </w:rPr>
              <w:t>1</w:t>
            </w:r>
          </w:p>
        </w:tc>
      </w:tr>
      <w:tr w:rsidR="001522EB" w14:paraId="633B4FD4" w14:textId="77777777">
        <w:trPr>
          <w:cantSplit/>
          <w:jc w:val="center"/>
        </w:trPr>
        <w:tc>
          <w:tcPr>
            <w:tcW w:w="2600" w:type="dxa"/>
          </w:tcPr>
          <w:p w14:paraId="7CBE6629" w14:textId="77777777" w:rsidR="001522EB" w:rsidRDefault="0013026C">
            <w:r>
              <w:rPr>
                <w:b/>
                <w:bCs/>
                <w:color w:val="000000"/>
                <w:sz w:val="19"/>
                <w:szCs w:val="19"/>
              </w:rPr>
              <w:t>Periodo cubierto</w:t>
            </w:r>
          </w:p>
        </w:tc>
        <w:tc>
          <w:tcPr>
            <w:tcW w:w="6150" w:type="dxa"/>
          </w:tcPr>
          <w:p w14:paraId="2F62253D" w14:textId="77777777" w:rsidR="001522EB" w:rsidRDefault="0013026C">
            <w:r>
              <w:rPr>
                <w:color w:val="000000"/>
                <w:sz w:val="19"/>
                <w:szCs w:val="19"/>
              </w:rPr>
              <w:t>21/09/2026 – 19/10/2026</w:t>
            </w:r>
          </w:p>
        </w:tc>
      </w:tr>
    </w:tbl>
    <w:p w14:paraId="75725A78" w14:textId="77777777" w:rsidR="001522EB" w:rsidRDefault="001522EB">
      <w:pPr>
        <w:spacing w:after="120"/>
      </w:pPr>
    </w:p>
    <w:p w14:paraId="3F05A15C" w14:textId="77777777" w:rsidR="001522EB" w:rsidRDefault="0013026C">
      <w:pPr>
        <w:pStyle w:val="Ttulo2"/>
        <w:numPr>
          <w:ilvl w:val="1"/>
          <w:numId w:val="3"/>
        </w:numPr>
      </w:pPr>
      <w:bookmarkStart w:id="32" w:name="_Toc243333089"/>
      <w:r>
        <w:t>Registro de interacciones</w:t>
      </w:r>
      <w:bookmarkEnd w:id="32"/>
    </w:p>
    <w:p w14:paraId="560C1253" w14:textId="77777777" w:rsidR="001522EB" w:rsidRDefault="0013026C">
      <w:pPr>
        <w:keepNext/>
        <w:tabs>
          <w:tab w:val="left" w:pos="1134"/>
        </w:tabs>
        <w:spacing w:before="240" w:after="120" w:line="240" w:lineRule="auto"/>
        <w:ind w:left="1134" w:hanging="1134"/>
      </w:pPr>
      <w:r>
        <w:rPr>
          <w:b/>
          <w:bCs/>
          <w:color w:val="000000"/>
        </w:rPr>
        <w:t>Tabla 10:</w:t>
      </w:r>
      <w:r>
        <w:tab/>
      </w:r>
      <w:r>
        <w:rPr>
          <w:color w:val="000000"/>
        </w:rPr>
        <w:t>Registro de uso de IA en la Entrega 1.</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4A0" w:firstRow="1" w:lastRow="0" w:firstColumn="1" w:lastColumn="0" w:noHBand="0" w:noVBand="1"/>
      </w:tblPr>
      <w:tblGrid>
        <w:gridCol w:w="1000"/>
        <w:gridCol w:w="1000"/>
        <w:gridCol w:w="1100"/>
        <w:gridCol w:w="1400"/>
        <w:gridCol w:w="1550"/>
        <w:gridCol w:w="1180"/>
        <w:gridCol w:w="1520"/>
      </w:tblGrid>
      <w:tr w:rsidR="001522EB" w14:paraId="67AFA02A" w14:textId="77777777">
        <w:trPr>
          <w:cantSplit/>
          <w:tblHeader/>
          <w:jc w:val="center"/>
        </w:trPr>
        <w:tc>
          <w:tcPr>
            <w:tcW w:w="1000" w:type="dxa"/>
            <w:shd w:val="clear" w:color="auto" w:fill="D9D9D9"/>
            <w:vAlign w:val="center"/>
          </w:tcPr>
          <w:p w14:paraId="2827D411" w14:textId="77777777" w:rsidR="001522EB" w:rsidRDefault="0013026C">
            <w:pPr>
              <w:jc w:val="center"/>
            </w:pPr>
            <w:r>
              <w:rPr>
                <w:b/>
                <w:bCs/>
                <w:color w:val="000000"/>
                <w:sz w:val="16"/>
                <w:szCs w:val="16"/>
              </w:rPr>
              <w:t>Fecha</w:t>
            </w:r>
          </w:p>
        </w:tc>
        <w:tc>
          <w:tcPr>
            <w:tcW w:w="1000" w:type="dxa"/>
            <w:shd w:val="clear" w:color="auto" w:fill="D9D9D9"/>
            <w:vAlign w:val="center"/>
          </w:tcPr>
          <w:p w14:paraId="1AFF68D2" w14:textId="77777777" w:rsidR="001522EB" w:rsidRDefault="0013026C">
            <w:pPr>
              <w:jc w:val="center"/>
            </w:pPr>
            <w:r>
              <w:rPr>
                <w:b/>
                <w:bCs/>
                <w:color w:val="000000"/>
                <w:sz w:val="16"/>
                <w:szCs w:val="16"/>
              </w:rPr>
              <w:t>Integrante</w:t>
            </w:r>
          </w:p>
        </w:tc>
        <w:tc>
          <w:tcPr>
            <w:tcW w:w="1100" w:type="dxa"/>
            <w:shd w:val="clear" w:color="auto" w:fill="D9D9D9"/>
            <w:vAlign w:val="center"/>
          </w:tcPr>
          <w:p w14:paraId="5364EF31" w14:textId="77777777" w:rsidR="001522EB" w:rsidRDefault="0013026C">
            <w:pPr>
              <w:jc w:val="center"/>
            </w:pPr>
            <w:r>
              <w:rPr>
                <w:b/>
                <w:bCs/>
                <w:color w:val="000000"/>
                <w:sz w:val="16"/>
                <w:szCs w:val="16"/>
              </w:rPr>
              <w:t>Herramienta de IA</w:t>
            </w:r>
          </w:p>
        </w:tc>
        <w:tc>
          <w:tcPr>
            <w:tcW w:w="1400" w:type="dxa"/>
            <w:shd w:val="clear" w:color="auto" w:fill="D9D9D9"/>
            <w:vAlign w:val="center"/>
          </w:tcPr>
          <w:p w14:paraId="62391FC3" w14:textId="77777777" w:rsidR="001522EB" w:rsidRDefault="0013026C">
            <w:pPr>
              <w:jc w:val="center"/>
            </w:pPr>
            <w:r>
              <w:rPr>
                <w:b/>
                <w:bCs/>
                <w:color w:val="000000"/>
                <w:sz w:val="16"/>
                <w:szCs w:val="16"/>
              </w:rPr>
              <w:t>Tarea / actividad apoyada</w:t>
            </w:r>
          </w:p>
        </w:tc>
        <w:tc>
          <w:tcPr>
            <w:tcW w:w="1550" w:type="dxa"/>
            <w:shd w:val="clear" w:color="auto" w:fill="D9D9D9"/>
            <w:vAlign w:val="center"/>
          </w:tcPr>
          <w:p w14:paraId="44846A6F" w14:textId="77777777" w:rsidR="001522EB" w:rsidRDefault="0013026C">
            <w:pPr>
              <w:jc w:val="center"/>
            </w:pPr>
            <w:r>
              <w:rPr>
                <w:b/>
                <w:bCs/>
                <w:color w:val="000000"/>
                <w:sz w:val="16"/>
                <w:szCs w:val="16"/>
              </w:rPr>
              <w:t>Prompt utilizado (resumen)</w:t>
            </w:r>
          </w:p>
        </w:tc>
        <w:tc>
          <w:tcPr>
            <w:tcW w:w="1180" w:type="dxa"/>
            <w:shd w:val="clear" w:color="auto" w:fill="D9D9D9"/>
            <w:vAlign w:val="center"/>
          </w:tcPr>
          <w:p w14:paraId="26F40210" w14:textId="77777777" w:rsidR="001522EB" w:rsidRDefault="0013026C">
            <w:pPr>
              <w:jc w:val="center"/>
            </w:pPr>
            <w:r>
              <w:rPr>
                <w:b/>
                <w:bCs/>
                <w:color w:val="000000"/>
                <w:sz w:val="16"/>
                <w:szCs w:val="16"/>
              </w:rPr>
              <w:t>Nivel de intervención humana</w:t>
            </w:r>
          </w:p>
        </w:tc>
        <w:tc>
          <w:tcPr>
            <w:tcW w:w="1520" w:type="dxa"/>
            <w:shd w:val="clear" w:color="auto" w:fill="D9D9D9"/>
            <w:vAlign w:val="center"/>
          </w:tcPr>
          <w:p w14:paraId="79FFDC34" w14:textId="77777777" w:rsidR="001522EB" w:rsidRDefault="0013026C">
            <w:pPr>
              <w:jc w:val="center"/>
            </w:pPr>
            <w:r>
              <w:rPr>
                <w:b/>
                <w:bCs/>
                <w:color w:val="000000"/>
                <w:sz w:val="16"/>
                <w:szCs w:val="16"/>
              </w:rPr>
              <w:t>Resultado / aprendizaje</w:t>
            </w:r>
          </w:p>
        </w:tc>
      </w:tr>
      <w:tr w:rsidR="001522EB" w14:paraId="21662962" w14:textId="77777777">
        <w:trPr>
          <w:jc w:val="center"/>
        </w:trPr>
        <w:tc>
          <w:tcPr>
            <w:tcW w:w="1000" w:type="dxa"/>
          </w:tcPr>
          <w:p w14:paraId="57A04D0A" w14:textId="77777777" w:rsidR="001522EB" w:rsidRDefault="0013026C">
            <w:r>
              <w:rPr>
                <w:color w:val="000000"/>
                <w:sz w:val="16"/>
                <w:szCs w:val="16"/>
              </w:rPr>
              <w:t>21/09/2026</w:t>
            </w:r>
          </w:p>
        </w:tc>
        <w:tc>
          <w:tcPr>
            <w:tcW w:w="1000" w:type="dxa"/>
          </w:tcPr>
          <w:p w14:paraId="3BB8540C" w14:textId="77777777" w:rsidR="001522EB" w:rsidRDefault="0013026C">
            <w:r>
              <w:rPr>
                <w:color w:val="000000"/>
                <w:sz w:val="16"/>
                <w:szCs w:val="16"/>
              </w:rPr>
              <w:t>Oscar David Gomez</w:t>
            </w:r>
          </w:p>
        </w:tc>
        <w:tc>
          <w:tcPr>
            <w:tcW w:w="1100" w:type="dxa"/>
          </w:tcPr>
          <w:p w14:paraId="297D1AEA" w14:textId="77777777" w:rsidR="001522EB" w:rsidRDefault="0013026C">
            <w:r>
              <w:rPr>
                <w:color w:val="000000"/>
                <w:sz w:val="16"/>
                <w:szCs w:val="16"/>
              </w:rPr>
              <w:t>Claude</w:t>
            </w:r>
          </w:p>
        </w:tc>
        <w:tc>
          <w:tcPr>
            <w:tcW w:w="1400" w:type="dxa"/>
          </w:tcPr>
          <w:p w14:paraId="3F7E5295" w14:textId="77777777" w:rsidR="001522EB" w:rsidRDefault="0013026C">
            <w:r>
              <w:rPr>
                <w:color w:val="000000"/>
                <w:sz w:val="16"/>
                <w:szCs w:val="16"/>
              </w:rPr>
              <w:t>Identificación preliminar de microservicios (bounded contexts).</w:t>
            </w:r>
          </w:p>
        </w:tc>
        <w:tc>
          <w:tcPr>
            <w:tcW w:w="1550" w:type="dxa"/>
          </w:tcPr>
          <w:p w14:paraId="6C32F438" w14:textId="77777777" w:rsidR="001522EB" w:rsidRDefault="0013026C">
            <w:r>
              <w:rPr>
                <w:color w:val="000000"/>
                <w:sz w:val="16"/>
                <w:szCs w:val="16"/>
              </w:rPr>
              <w:t>Se solicitó proponer y justificar la partición en microservicios a partir de los RF/RNF del enunciado, aplicando DDD.</w:t>
            </w:r>
          </w:p>
        </w:tc>
        <w:tc>
          <w:tcPr>
            <w:tcW w:w="1180" w:type="dxa"/>
          </w:tcPr>
          <w:p w14:paraId="79CFFD3B" w14:textId="77777777" w:rsidR="001522EB" w:rsidRDefault="0013026C">
            <w:r>
              <w:rPr>
                <w:color w:val="000000"/>
                <w:sz w:val="16"/>
                <w:szCs w:val="16"/>
              </w:rPr>
              <w:t>Medio</w:t>
            </w:r>
          </w:p>
        </w:tc>
        <w:tc>
          <w:tcPr>
            <w:tcW w:w="1520" w:type="dxa"/>
          </w:tcPr>
          <w:p w14:paraId="3B32A80F" w14:textId="77777777" w:rsidR="001522EB" w:rsidRDefault="0013026C">
            <w:r>
              <w:rPr>
                <w:color w:val="000000"/>
                <w:sz w:val="16"/>
                <w:szCs w:val="16"/>
              </w:rPr>
              <w:t>Se validó la propuesta de 7 microservicios contra la técnica estándar de bounded contexts (investigada aparte); se ajustó el manejo de RF13 (devoluciones), que se repartió entre compras e inventario tras la discusión del equipo.</w:t>
            </w:r>
          </w:p>
        </w:tc>
      </w:tr>
      <w:tr w:rsidR="001522EB" w14:paraId="6B471620" w14:textId="77777777">
        <w:trPr>
          <w:jc w:val="center"/>
        </w:trPr>
        <w:tc>
          <w:tcPr>
            <w:tcW w:w="1000" w:type="dxa"/>
          </w:tcPr>
          <w:p w14:paraId="674E5796" w14:textId="77777777" w:rsidR="001522EB" w:rsidRDefault="0013026C">
            <w:r>
              <w:rPr>
                <w:color w:val="000000"/>
                <w:sz w:val="16"/>
                <w:szCs w:val="16"/>
              </w:rPr>
              <w:t>23/09/2026</w:t>
            </w:r>
          </w:p>
        </w:tc>
        <w:tc>
          <w:tcPr>
            <w:tcW w:w="1000" w:type="dxa"/>
          </w:tcPr>
          <w:p w14:paraId="4382FE2B" w14:textId="77777777" w:rsidR="001522EB" w:rsidRDefault="0013026C">
            <w:r>
              <w:rPr>
                <w:color w:val="000000"/>
                <w:sz w:val="16"/>
                <w:szCs w:val="16"/>
              </w:rPr>
              <w:t>Andrés Hernández</w:t>
            </w:r>
          </w:p>
        </w:tc>
        <w:tc>
          <w:tcPr>
            <w:tcW w:w="1100" w:type="dxa"/>
          </w:tcPr>
          <w:p w14:paraId="135D87F3" w14:textId="77777777" w:rsidR="001522EB" w:rsidRDefault="0013026C">
            <w:r>
              <w:rPr>
                <w:color w:val="000000"/>
                <w:sz w:val="16"/>
                <w:szCs w:val="16"/>
              </w:rPr>
              <w:t>Claude</w:t>
            </w:r>
          </w:p>
        </w:tc>
        <w:tc>
          <w:tcPr>
            <w:tcW w:w="1400" w:type="dxa"/>
          </w:tcPr>
          <w:p w14:paraId="06351DF8" w14:textId="77777777" w:rsidR="001522EB" w:rsidRDefault="0013026C">
            <w:r>
              <w:rPr>
                <w:color w:val="000000"/>
                <w:sz w:val="16"/>
                <w:szCs w:val="16"/>
              </w:rPr>
              <w:t>Definición del problema, alcance y requerimientos funcionales (RF01–RF14) y no funcionales (RNF01–RNF16) de la Entrega 1.</w:t>
            </w:r>
          </w:p>
        </w:tc>
        <w:tc>
          <w:tcPr>
            <w:tcW w:w="1550" w:type="dxa"/>
          </w:tcPr>
          <w:p w14:paraId="3ECB5869" w14:textId="77777777" w:rsidR="001522EB" w:rsidRDefault="0013026C">
            <w:r>
              <w:rPr>
                <w:color w:val="000000"/>
                <w:sz w:val="16"/>
                <w:szCs w:val="16"/>
              </w:rPr>
              <w:t>Actuar como arquitecto de software y asesor del curso: con el enunciado, el avance y el checklist, definir el problema, el alcance y los RF/RNF para una empresa genérica, ajustados al checklist.</w:t>
            </w:r>
          </w:p>
        </w:tc>
        <w:tc>
          <w:tcPr>
            <w:tcW w:w="1180" w:type="dxa"/>
          </w:tcPr>
          <w:p w14:paraId="1A0B7928" w14:textId="77777777" w:rsidR="001522EB" w:rsidRDefault="0013026C">
            <w:r>
              <w:rPr>
                <w:color w:val="000000"/>
                <w:sz w:val="16"/>
                <w:szCs w:val="16"/>
              </w:rPr>
              <w:t>Medio</w:t>
            </w:r>
          </w:p>
        </w:tc>
        <w:tc>
          <w:tcPr>
            <w:tcW w:w="1520" w:type="dxa"/>
          </w:tcPr>
          <w:p w14:paraId="4533B22C" w14:textId="77777777" w:rsidR="001522EB" w:rsidRDefault="0013026C">
            <w:r>
              <w:rPr>
                <w:color w:val="000000"/>
                <w:sz w:val="16"/>
                <w:szCs w:val="16"/>
              </w:rPr>
              <w:t>Quedaron inconsistencias por resolver (umbrales, ms</w:t>
            </w:r>
            <w:r>
              <w:rPr>
                <w:color w:val="000000"/>
                <w:sz w:val="16"/>
                <w:szCs w:val="16"/>
              </w:rPr>
              <w:noBreakHyphen/>
              <w:t>reportes, devoluciones, broker). Se optó por una empresa genérica. Aprendizaje: excluir ventas y facturación justifica 7 microservicios; RF04 difiere de RF10 (kardex); el stock bajo se detecta en ms</w:t>
            </w:r>
            <w:r>
              <w:rPr>
                <w:color w:val="000000"/>
                <w:sz w:val="16"/>
                <w:szCs w:val="16"/>
              </w:rPr>
              <w:noBreakHyphen/>
              <w:t>inventario. Pendiente: validar la numeración de los RNF.</w:t>
            </w:r>
          </w:p>
        </w:tc>
      </w:tr>
      <w:tr w:rsidR="001522EB" w14:paraId="593073AB" w14:textId="77777777">
        <w:trPr>
          <w:jc w:val="center"/>
        </w:trPr>
        <w:tc>
          <w:tcPr>
            <w:tcW w:w="1000" w:type="dxa"/>
          </w:tcPr>
          <w:p w14:paraId="2128C928" w14:textId="77777777" w:rsidR="001522EB" w:rsidRDefault="0013026C">
            <w:r>
              <w:rPr>
                <w:color w:val="000000"/>
                <w:sz w:val="16"/>
                <w:szCs w:val="16"/>
              </w:rPr>
              <w:t>25/09/2026</w:t>
            </w:r>
          </w:p>
        </w:tc>
        <w:tc>
          <w:tcPr>
            <w:tcW w:w="1000" w:type="dxa"/>
          </w:tcPr>
          <w:p w14:paraId="34B9BD01" w14:textId="77777777" w:rsidR="001522EB" w:rsidRDefault="0013026C">
            <w:r>
              <w:rPr>
                <w:color w:val="000000"/>
                <w:sz w:val="16"/>
                <w:szCs w:val="16"/>
              </w:rPr>
              <w:t>Andrés Hernández</w:t>
            </w:r>
          </w:p>
        </w:tc>
        <w:tc>
          <w:tcPr>
            <w:tcW w:w="1100" w:type="dxa"/>
          </w:tcPr>
          <w:p w14:paraId="54948F0D" w14:textId="77777777" w:rsidR="001522EB" w:rsidRDefault="0013026C">
            <w:r>
              <w:rPr>
                <w:color w:val="000000"/>
                <w:sz w:val="16"/>
                <w:szCs w:val="16"/>
              </w:rPr>
              <w:t>Claude</w:t>
            </w:r>
          </w:p>
        </w:tc>
        <w:tc>
          <w:tcPr>
            <w:tcW w:w="1400" w:type="dxa"/>
          </w:tcPr>
          <w:p w14:paraId="6240CEB2" w14:textId="77777777" w:rsidR="001522EB" w:rsidRDefault="0013026C">
            <w:r>
              <w:rPr>
                <w:color w:val="000000"/>
                <w:sz w:val="16"/>
                <w:szCs w:val="16"/>
              </w:rPr>
              <w:t>Corrección de la definición del problema, el alcance y los requerimientos RF/RNF de la Entrega 1.</w:t>
            </w:r>
          </w:p>
        </w:tc>
        <w:tc>
          <w:tcPr>
            <w:tcW w:w="1550" w:type="dxa"/>
          </w:tcPr>
          <w:p w14:paraId="6B466EDC" w14:textId="77777777" w:rsidR="001522EB" w:rsidRDefault="0013026C">
            <w:r>
              <w:rPr>
                <w:color w:val="000000"/>
                <w:sz w:val="16"/>
                <w:szCs w:val="16"/>
              </w:rPr>
              <w:t>Con el documento actualizado del proyecto y el ejemplo del API Gateway en Laravel, se pidió ajustar las secciones al caso de un supermercado, reemplazar JWT por tokens de Laravel Sanctum y eliminar la documentación OpenAPI y la idempotencia de eventos.</w:t>
            </w:r>
          </w:p>
        </w:tc>
        <w:tc>
          <w:tcPr>
            <w:tcW w:w="1180" w:type="dxa"/>
          </w:tcPr>
          <w:p w14:paraId="0817D2DB" w14:textId="77777777" w:rsidR="001522EB" w:rsidRDefault="0013026C">
            <w:r>
              <w:rPr>
                <w:color w:val="000000"/>
                <w:sz w:val="16"/>
                <w:szCs w:val="16"/>
              </w:rPr>
              <w:t>Alto</w:t>
            </w:r>
          </w:p>
        </w:tc>
        <w:tc>
          <w:tcPr>
            <w:tcW w:w="1520" w:type="dxa"/>
          </w:tcPr>
          <w:p w14:paraId="1500C273" w14:textId="77777777" w:rsidR="001522EB" w:rsidRDefault="0013026C">
            <w:r>
              <w:rPr>
                <w:color w:val="000000"/>
                <w:sz w:val="16"/>
                <w:szCs w:val="16"/>
              </w:rPr>
              <w:t>El equipo definió el supermercado como empresa, el uso de Sanctum y la exclusión de OpenAPI e idempotencia; la IA adaptó problemas, alcance, RF08, RNF03, RNF08, RNF10 y RNF13. Aprendizaje: los tokens de Sanctum son con estado (se guardan como hash SHA-256 y se revocan al cerrar sesión), a diferencia de JWT. Quedaron inconsistencias por resolver: la mitigación de idempotencia en la justificación, la autenticación en el gateway frente a ms</w:t>
            </w:r>
            <w:r>
              <w:rPr>
                <w:color w:val="000000"/>
                <w:sz w:val="16"/>
                <w:szCs w:val="16"/>
              </w:rPr>
              <w:noBreakHyphen/>
            </w:r>
            <w:r>
              <w:rPr>
                <w:color w:val="000000"/>
                <w:sz w:val="16"/>
                <w:szCs w:val="16"/>
              </w:rPr>
              <w:t>usuarios, las URL fijas (localhost) en Kubernetes y la exclusión de vencimientos.</w:t>
            </w:r>
          </w:p>
        </w:tc>
      </w:tr>
      <w:tr w:rsidR="001522EB" w14:paraId="15EE349C" w14:textId="77777777">
        <w:trPr>
          <w:jc w:val="center"/>
        </w:trPr>
        <w:tc>
          <w:tcPr>
            <w:tcW w:w="1000" w:type="dxa"/>
          </w:tcPr>
          <w:p w14:paraId="32D2424F" w14:textId="77777777" w:rsidR="001522EB" w:rsidRDefault="0013026C">
            <w:pPr>
              <w:keepNext/>
            </w:pPr>
            <w:r>
              <w:rPr>
                <w:color w:val="000000"/>
                <w:sz w:val="16"/>
                <w:szCs w:val="16"/>
              </w:rPr>
              <w:t>19/10/2026</w:t>
            </w:r>
          </w:p>
        </w:tc>
        <w:tc>
          <w:tcPr>
            <w:tcW w:w="1000" w:type="dxa"/>
          </w:tcPr>
          <w:p w14:paraId="4746ACB6" w14:textId="77777777" w:rsidR="001522EB" w:rsidRDefault="0013026C">
            <w:pPr>
              <w:keepNext/>
            </w:pPr>
            <w:r>
              <w:rPr>
                <w:color w:val="000000"/>
                <w:sz w:val="16"/>
                <w:szCs w:val="16"/>
              </w:rPr>
              <w:t>Andrés Hernández</w:t>
            </w:r>
          </w:p>
        </w:tc>
        <w:tc>
          <w:tcPr>
            <w:tcW w:w="1100" w:type="dxa"/>
          </w:tcPr>
          <w:p w14:paraId="7D5C9E0D" w14:textId="77777777" w:rsidR="001522EB" w:rsidRDefault="0013026C">
            <w:pPr>
              <w:keepNext/>
            </w:pPr>
            <w:r>
              <w:rPr>
                <w:color w:val="000000"/>
                <w:sz w:val="16"/>
                <w:szCs w:val="16"/>
              </w:rPr>
              <w:t>Claude (Claude Code)</w:t>
            </w:r>
          </w:p>
        </w:tc>
        <w:tc>
          <w:tcPr>
            <w:tcW w:w="1400" w:type="dxa"/>
          </w:tcPr>
          <w:p w14:paraId="6528540D" w14:textId="77777777" w:rsidR="001522EB" w:rsidRDefault="0013026C">
            <w:pPr>
              <w:keepNext/>
            </w:pPr>
            <w:r>
              <w:rPr>
                <w:color w:val="000000"/>
                <w:sz w:val="16"/>
                <w:szCs w:val="16"/>
              </w:rPr>
              <w:t>Revisión del documento de la Entrega 1 frente al enunciado, reestructuración en la plantilla institucional de presentación de trabajos y creación de las bitácoras individuales en Markdown.</w:t>
            </w:r>
          </w:p>
        </w:tc>
        <w:tc>
          <w:tcPr>
            <w:tcW w:w="1550" w:type="dxa"/>
          </w:tcPr>
          <w:p w14:paraId="572D7653" w14:textId="77777777" w:rsidR="001522EB" w:rsidRDefault="0013026C">
            <w:pPr>
              <w:keepNext/>
            </w:pPr>
            <w:r>
              <w:rPr>
                <w:color w:val="000000"/>
                <w:sz w:val="16"/>
                <w:szCs w:val="16"/>
              </w:rPr>
              <w:t>Con el enunciado y la plantilla de presentación de trabajos, examinar el documento de la Entrega 1, reestructurarlo, generar el Word con la plantilla y crear una carpeta con una bitácora de IA en Markdown por integrante.</w:t>
            </w:r>
          </w:p>
        </w:tc>
        <w:tc>
          <w:tcPr>
            <w:tcW w:w="1180" w:type="dxa"/>
          </w:tcPr>
          <w:p w14:paraId="062134CF" w14:textId="77777777" w:rsidR="001522EB" w:rsidRDefault="0013026C">
            <w:pPr>
              <w:keepNext/>
            </w:pPr>
            <w:r>
              <w:rPr>
                <w:color w:val="000000"/>
                <w:sz w:val="16"/>
                <w:szCs w:val="16"/>
              </w:rPr>
              <w:t>Medio</w:t>
            </w:r>
          </w:p>
        </w:tc>
        <w:tc>
          <w:tcPr>
            <w:tcW w:w="1520" w:type="dxa"/>
          </w:tcPr>
          <w:p w14:paraId="42F396D5" w14:textId="77777777" w:rsidR="001522EB" w:rsidRDefault="0013026C">
            <w:pPr>
              <w:keepNext/>
            </w:pPr>
            <w:r>
              <w:rPr>
                <w:color w:val="000000"/>
                <w:sz w:val="16"/>
                <w:szCs w:val="16"/>
              </w:rPr>
              <w:t>La IA reorganizó el documento en capítulos numerados, agregó el cuadro comparativo de sistemas, las referencias que faltaban, el capítulo del repositorio y la reflexión de la fase, y corrigió inconsistencias (idempotencia, devoluciones, detección del stock bajo, autenticación). Señaló desviaciones frente al enunciado para decisión del equipo (OpenAPI, asociación producto–proveedor). Tras la revisión del equipo, la gestión de usuarios y la autenticación se ubicaron en el API Gateway y se eliminó ms</w:t>
            </w:r>
            <w:r>
              <w:rPr>
                <w:color w:val="000000"/>
                <w:sz w:val="16"/>
                <w:szCs w:val="16"/>
              </w:rPr>
              <w:noBreakHyphen/>
            </w:r>
            <w:r>
              <w:rPr>
                <w:color w:val="000000"/>
                <w:sz w:val="16"/>
                <w:szCs w:val="16"/>
              </w:rPr>
              <w:t>usuarios: quedan seis microservicios.</w:t>
            </w:r>
          </w:p>
        </w:tc>
      </w:tr>
    </w:tbl>
    <w:p w14:paraId="6E65063B" w14:textId="77777777" w:rsidR="001522EB" w:rsidRDefault="0013026C">
      <w:pPr>
        <w:spacing w:before="60" w:after="240" w:line="240" w:lineRule="auto"/>
      </w:pPr>
      <w:r>
        <w:rPr>
          <w:color w:val="000000"/>
          <w:sz w:val="18"/>
          <w:szCs w:val="18"/>
        </w:rPr>
        <w:t>Fuente: bitácoras individuales del equipo (carpeta bitacora_ia del repositorio).</w:t>
      </w:r>
    </w:p>
    <w:p w14:paraId="34AD032A" w14:textId="77777777" w:rsidR="001522EB" w:rsidRDefault="0013026C">
      <w:pPr>
        <w:pStyle w:val="Ttulo2"/>
        <w:numPr>
          <w:ilvl w:val="1"/>
          <w:numId w:val="3"/>
        </w:numPr>
      </w:pPr>
      <w:bookmarkStart w:id="33" w:name="_Toc243333090"/>
      <w:r>
        <w:t>Reflexión final de la fase</w:t>
      </w:r>
      <w:bookmarkEnd w:id="33"/>
    </w:p>
    <w:p w14:paraId="6C5F344D" w14:textId="77777777" w:rsidR="001522EB" w:rsidRDefault="0013026C">
      <w:pPr>
        <w:spacing w:after="240" w:line="360" w:lineRule="auto"/>
        <w:jc w:val="both"/>
      </w:pPr>
      <w:r>
        <w:rPr>
          <w:color w:val="000000"/>
        </w:rPr>
        <w:t>En esta fase el equipo delegó en la IA tareas de síntesis y redacción: proponer la partición en microservicios a partir de los requerimientos, redactar el problema, el alcance y los requerimientos, y reorganizar el documento en la plantilla institucional. Las decisiones de fondo las tomó el equipo: el supermercado como caso de estudio, Laravel Sanctum en lugar de JWT, la gestión de usuarios y autenticación en el API Gateway, la exclusión de los vencimientos y el reparto de las devoluciones entre compras e i</w:t>
      </w:r>
      <w:r>
        <w:rPr>
          <w:color w:val="000000"/>
        </w:rPr>
        <w:t>nventario. La IA cometió errores que se detectaron al contrastar sus respuestas con el enunciado y entre secciones: dejó inconsistencias en los umbrales de stock y en las responsabilidades de ms</w:t>
      </w:r>
      <w:r>
        <w:rPr>
          <w:color w:val="000000"/>
        </w:rPr>
        <w:noBreakHyphen/>
        <w:t>reportes y ms</w:t>
      </w:r>
      <w:r>
        <w:rPr>
          <w:color w:val="000000"/>
        </w:rPr>
        <w:noBreakHyphen/>
        <w:t>usuarios, y mantuvo la idempotencia de eventos después de que el equipo la descartó. Cada propuesta se verificó contra el enunciado, la documentación oficial de los sistemas analizados y la discusión del equipo antes de incorporarla. El principal aprendizaje es que la IA acelera la redacción, pero la coherencia del documento y la justificación de cada decisión dependen de la revisión del equipo.</w:t>
      </w:r>
    </w:p>
    <w:p w14:paraId="1B666A35" w14:textId="77777777" w:rsidR="001522EB" w:rsidRDefault="0013026C">
      <w:pPr>
        <w:pStyle w:val="Ttulo1"/>
        <w:pageBreakBefore/>
        <w:numPr>
          <w:ilvl w:val="0"/>
          <w:numId w:val="3"/>
        </w:numPr>
      </w:pPr>
      <w:bookmarkStart w:id="34" w:name="_Toc243333091"/>
      <w:r>
        <w:t>Conclusiones</w:t>
      </w:r>
      <w:bookmarkEnd w:id="34"/>
    </w:p>
    <w:p w14:paraId="43052D06" w14:textId="77777777" w:rsidR="001522EB" w:rsidRDefault="0013026C">
      <w:pPr>
        <w:spacing w:after="240" w:line="360" w:lineRule="auto"/>
        <w:jc w:val="both"/>
      </w:pPr>
      <w:r>
        <w:rPr>
          <w:color w:val="000000"/>
        </w:rPr>
        <w:t>El análisis de Odoo Inventory, ERPNext y Zoho Inventory mostró un núcleo común (saldo por bodega, movimientos tipificados, historial auditable y stock mínimo conectado con compras) que se adoptó como base de los requerimientos, y tres oportunidades de mejora: detección inmediata del stock bajo, un alcance enfocado en inventario y escalado selectivo.</w:t>
      </w:r>
    </w:p>
    <w:p w14:paraId="389D1ABE" w14:textId="77777777" w:rsidR="001522EB" w:rsidRDefault="0013026C">
      <w:pPr>
        <w:spacing w:after="240" w:line="360" w:lineRule="auto"/>
        <w:jc w:val="both"/>
      </w:pPr>
      <w:r>
        <w:rPr>
          <w:color w:val="000000"/>
        </w:rPr>
        <w:t>El problema del supermercado no es la falta de un ERP completo, sino la ausencia de una fuente única, confiable y trazable de existencias. Por eso el alcance incluye productos, bodegas, movimientos, compras, devoluciones, alertas y reportes, y excluye ventas, facturación y contabilidad, que ya resuelve el POS.</w:t>
      </w:r>
    </w:p>
    <w:p w14:paraId="7E17C383" w14:textId="77777777" w:rsidR="001522EB" w:rsidRDefault="0013026C">
      <w:pPr>
        <w:spacing w:after="240" w:line="360" w:lineRule="auto"/>
        <w:jc w:val="both"/>
      </w:pPr>
      <w:r>
        <w:rPr>
          <w:color w:val="000000"/>
        </w:rPr>
        <w:t>Los catorce requerimientos funcionales y los veinte no funcionales dan trazabilidad al diseño: cada criterio de la comparación de arquitecturas y cada microservicio se vinculan con requerimientos concretos.</w:t>
      </w:r>
    </w:p>
    <w:p w14:paraId="70B46648" w14:textId="77777777" w:rsidR="001522EB" w:rsidRDefault="0013026C">
      <w:pPr>
        <w:spacing w:after="240" w:line="360" w:lineRule="auto"/>
        <w:jc w:val="both"/>
      </w:pPr>
      <w:r>
        <w:rPr>
          <w:color w:val="000000"/>
        </w:rPr>
        <w:t>La arquitectura de microservicios se justifica por la escalabilidad independiente del inventario, el aislamiento de fallos de los servicios reactivos, la privacidad de datos por dominio y la seguridad centralizada en un API Gateway propio. Sus costos (complejidad operativa, consistencia eventual y latencia) se aceptan de forma explícita y tienen mitigaciones definidas; la hipótesis de escalado selectivo se validará con las pruebas de rendimiento.</w:t>
      </w:r>
    </w:p>
    <w:p w14:paraId="53C4D55C" w14:textId="77777777" w:rsidR="001522EB" w:rsidRDefault="0013026C">
      <w:pPr>
        <w:spacing w:after="240" w:line="360" w:lineRule="auto"/>
        <w:jc w:val="both"/>
      </w:pPr>
      <w:r>
        <w:rPr>
          <w:color w:val="000000"/>
        </w:rPr>
        <w:t>La aplicación de DDD produjo seis microservicios de negocio de granularidad gruesa, con solo dos dependencias síncronas entre ellos, y un API Gateway que concentra la entrada, la gestión de usuarios y la autenticación. Quedan para la Entrega 2 los contratos de API, los modelos de datos, la elección del broker de mensajería y el tratamiento de los mensajes duplicados.</w:t>
      </w:r>
    </w:p>
    <w:p w14:paraId="413A1858" w14:textId="77777777" w:rsidR="001522EB" w:rsidRDefault="001522EB">
      <w:pPr>
        <w:sectPr w:rsidR="001522EB">
          <w:headerReference w:type="even" r:id="rId10"/>
          <w:headerReference w:type="default" r:id="rId11"/>
          <w:pgSz w:w="12240" w:h="15840"/>
          <w:pgMar w:top="1440" w:right="1440" w:bottom="1440" w:left="2041" w:header="709" w:footer="709" w:gutter="0"/>
          <w:pgNumType w:start="1"/>
          <w:cols w:space="720"/>
          <w:titlePg/>
        </w:sectPr>
      </w:pPr>
    </w:p>
    <w:p w14:paraId="6CC4AD5A" w14:textId="77777777" w:rsidR="001522EB" w:rsidRDefault="0013026C">
      <w:pPr>
        <w:pStyle w:val="Ttulo1"/>
        <w:ind w:left="0" w:firstLine="0"/>
      </w:pPr>
      <w:bookmarkStart w:id="35" w:name="_Toc243333092"/>
      <w:r>
        <w:t>Bibliografía</w:t>
      </w:r>
      <w:bookmarkEnd w:id="35"/>
    </w:p>
    <w:p w14:paraId="503B372D" w14:textId="77777777" w:rsidR="001522EB" w:rsidRDefault="0013026C">
      <w:pPr>
        <w:spacing w:after="240" w:line="360" w:lineRule="auto"/>
        <w:jc w:val="both"/>
      </w:pPr>
      <w:r>
        <w:rPr>
          <w:color w:val="000000"/>
        </w:rPr>
        <w:t>Las referencias siguen el formato APA, 7.ª edición.</w:t>
      </w:r>
    </w:p>
    <w:p w14:paraId="0AC09F54" w14:textId="77777777" w:rsidR="001522EB" w:rsidRDefault="0013026C">
      <w:pPr>
        <w:ind w:left="720" w:hanging="720"/>
      </w:pPr>
      <w:r>
        <w:rPr>
          <w:color w:val="000000"/>
        </w:rPr>
        <w:t xml:space="preserve">Dragoni, N., Giallorenzo, S., Lluch Lafuente, A., Mazzara, M., Montesi, F., Mustafin, R., &amp; Safina, L. (2017). Microservices: Yesterday, today, and tomorrow. En M. Mazzara &amp; B. Meyer (Eds.), </w:t>
      </w:r>
      <w:r>
        <w:rPr>
          <w:i/>
          <w:iCs/>
          <w:color w:val="000000"/>
        </w:rPr>
        <w:t>Present and ulterior software engineering</w:t>
      </w:r>
      <w:r>
        <w:rPr>
          <w:color w:val="000000"/>
        </w:rPr>
        <w:t xml:space="preserve"> (pp. 195–216). Springer. </w:t>
      </w:r>
      <w:hyperlink r:id="rId12" w:history="1">
        <w:r>
          <w:rPr>
            <w:rStyle w:val="Hipervnculo"/>
          </w:rPr>
          <w:t>https://doi.org/10.1007/978-3-319-67425-4_12</w:t>
        </w:r>
      </w:hyperlink>
    </w:p>
    <w:p w14:paraId="1AAD1529" w14:textId="77777777" w:rsidR="001522EB" w:rsidRDefault="0013026C">
      <w:pPr>
        <w:ind w:left="720" w:hanging="720"/>
      </w:pPr>
      <w:r>
        <w:rPr>
          <w:color w:val="000000"/>
        </w:rPr>
        <w:t xml:space="preserve">Fowler, M. (2015a, 1 de julio). </w:t>
      </w:r>
      <w:r>
        <w:rPr>
          <w:i/>
          <w:iCs/>
          <w:color w:val="000000"/>
        </w:rPr>
        <w:t>Microservice trade-offs</w:t>
      </w:r>
      <w:r>
        <w:rPr>
          <w:color w:val="000000"/>
        </w:rPr>
        <w:t xml:space="preserve">. martinfowler.com. </w:t>
      </w:r>
      <w:hyperlink r:id="rId13" w:history="1">
        <w:r>
          <w:rPr>
            <w:rStyle w:val="Hipervnculo"/>
          </w:rPr>
          <w:t>https://martinfowler.com/articles/microservice-trade-offs.html</w:t>
        </w:r>
      </w:hyperlink>
    </w:p>
    <w:p w14:paraId="7D118FD8" w14:textId="77777777" w:rsidR="001522EB" w:rsidRDefault="0013026C">
      <w:pPr>
        <w:ind w:left="720" w:hanging="720"/>
      </w:pPr>
      <w:r>
        <w:rPr>
          <w:color w:val="000000"/>
        </w:rPr>
        <w:t xml:space="preserve">Fowler, M. (2015b, 3 de junio). </w:t>
      </w:r>
      <w:r>
        <w:rPr>
          <w:i/>
          <w:iCs/>
          <w:color w:val="000000"/>
        </w:rPr>
        <w:t>Monolith first</w:t>
      </w:r>
      <w:r>
        <w:rPr>
          <w:color w:val="000000"/>
        </w:rPr>
        <w:t xml:space="preserve">. martinfowler.com. </w:t>
      </w:r>
      <w:hyperlink r:id="rId14" w:history="1">
        <w:r>
          <w:rPr>
            <w:rStyle w:val="Hipervnculo"/>
          </w:rPr>
          <w:t>https://martinfowler.com/bliki/MonolithFirst.html</w:t>
        </w:r>
      </w:hyperlink>
    </w:p>
    <w:p w14:paraId="25C85C63" w14:textId="77777777" w:rsidR="001522EB" w:rsidRDefault="0013026C">
      <w:pPr>
        <w:ind w:left="720" w:hanging="720"/>
      </w:pPr>
      <w:r>
        <w:rPr>
          <w:color w:val="000000"/>
        </w:rPr>
        <w:t>Frappe Technologies. (s. f.</w:t>
      </w:r>
      <w:r>
        <w:rPr>
          <w:color w:val="000000"/>
        </w:rPr>
        <w:noBreakHyphen/>
        <w:t xml:space="preserve">a). </w:t>
      </w:r>
      <w:r>
        <w:rPr>
          <w:i/>
          <w:iCs/>
          <w:color w:val="000000"/>
        </w:rPr>
        <w:t>Auto creation of material request</w:t>
      </w:r>
      <w:r>
        <w:rPr>
          <w:color w:val="000000"/>
        </w:rPr>
        <w:t xml:space="preserve">. ERPNext Documentation (v13). </w:t>
      </w:r>
      <w:hyperlink r:id="rId15" w:history="1">
        <w:r>
          <w:rPr>
            <w:rStyle w:val="Hipervnculo"/>
          </w:rPr>
          <w:t>https://docs.erpnext.com/docs/v13/user/manual/en/stock/articles/auto-creation-of-material-request</w:t>
        </w:r>
      </w:hyperlink>
    </w:p>
    <w:p w14:paraId="128D12D1" w14:textId="77777777" w:rsidR="001522EB" w:rsidRDefault="0013026C">
      <w:pPr>
        <w:ind w:left="720" w:hanging="720"/>
      </w:pPr>
      <w:r>
        <w:rPr>
          <w:color w:val="000000"/>
        </w:rPr>
        <w:t>Frappe Technologies. (s. f.</w:t>
      </w:r>
      <w:r>
        <w:rPr>
          <w:color w:val="000000"/>
        </w:rPr>
        <w:noBreakHyphen/>
        <w:t xml:space="preserve">b). </w:t>
      </w:r>
      <w:r>
        <w:rPr>
          <w:i/>
          <w:iCs/>
          <w:color w:val="000000"/>
        </w:rPr>
        <w:t>Frappe Framework</w:t>
      </w:r>
      <w:r>
        <w:rPr>
          <w:color w:val="000000"/>
        </w:rPr>
        <w:t xml:space="preserve">. </w:t>
      </w:r>
      <w:hyperlink r:id="rId16" w:history="1">
        <w:r>
          <w:rPr>
            <w:rStyle w:val="Hipervnculo"/>
          </w:rPr>
          <w:t>https://frappe.io/framework</w:t>
        </w:r>
      </w:hyperlink>
    </w:p>
    <w:p w14:paraId="49178F07" w14:textId="77777777" w:rsidR="001522EB" w:rsidRDefault="0013026C">
      <w:pPr>
        <w:ind w:left="720" w:hanging="720"/>
      </w:pPr>
      <w:r>
        <w:rPr>
          <w:color w:val="000000"/>
        </w:rPr>
        <w:t>Frappe Technologies. (s. f.</w:t>
      </w:r>
      <w:r>
        <w:rPr>
          <w:color w:val="000000"/>
        </w:rPr>
        <w:noBreakHyphen/>
        <w:t xml:space="preserve">c). </w:t>
      </w:r>
      <w:r>
        <w:rPr>
          <w:i/>
          <w:iCs/>
          <w:color w:val="000000"/>
        </w:rPr>
        <w:t>frappe/erpnext: Free and open source enterprise resource planning (ERP)</w:t>
      </w:r>
      <w:r>
        <w:rPr>
          <w:color w:val="000000"/>
        </w:rPr>
        <w:t xml:space="preserve"> [Repositorio]. GitHub. </w:t>
      </w:r>
      <w:hyperlink r:id="rId17" w:history="1">
        <w:r>
          <w:rPr>
            <w:rStyle w:val="Hipervnculo"/>
          </w:rPr>
          <w:t>https://github.com/frappe/erpnext</w:t>
        </w:r>
      </w:hyperlink>
    </w:p>
    <w:p w14:paraId="27D6D4BD" w14:textId="77777777" w:rsidR="001522EB" w:rsidRDefault="0013026C">
      <w:pPr>
        <w:ind w:left="720" w:hanging="720"/>
      </w:pPr>
      <w:r>
        <w:rPr>
          <w:color w:val="000000"/>
        </w:rPr>
        <w:t>Frappe Technologies. (s. f.</w:t>
      </w:r>
      <w:r>
        <w:rPr>
          <w:color w:val="000000"/>
        </w:rPr>
        <w:noBreakHyphen/>
        <w:t xml:space="preserve">d). </w:t>
      </w:r>
      <w:r>
        <w:rPr>
          <w:i/>
          <w:iCs/>
          <w:color w:val="000000"/>
        </w:rPr>
        <w:t>frappe/frappe: Low code web framework for real world applications, in Python and Javascript</w:t>
      </w:r>
      <w:r>
        <w:rPr>
          <w:color w:val="000000"/>
        </w:rPr>
        <w:t xml:space="preserve"> [Repositorio]. GitHub. </w:t>
      </w:r>
      <w:hyperlink r:id="rId18" w:history="1">
        <w:r>
          <w:rPr>
            <w:rStyle w:val="Hipervnculo"/>
          </w:rPr>
          <w:t>https://github.com/frappe/frappe</w:t>
        </w:r>
      </w:hyperlink>
    </w:p>
    <w:p w14:paraId="77AC1E4A" w14:textId="77777777" w:rsidR="001522EB" w:rsidRDefault="0013026C">
      <w:pPr>
        <w:ind w:left="720" w:hanging="720"/>
      </w:pPr>
      <w:r>
        <w:rPr>
          <w:color w:val="000000"/>
        </w:rPr>
        <w:t>Frappe Technologies. (s. f.</w:t>
      </w:r>
      <w:r>
        <w:rPr>
          <w:color w:val="000000"/>
        </w:rPr>
        <w:noBreakHyphen/>
        <w:t xml:space="preserve">e). </w:t>
      </w:r>
      <w:r>
        <w:rPr>
          <w:i/>
          <w:iCs/>
          <w:color w:val="000000"/>
        </w:rPr>
        <w:t>Introduction</w:t>
      </w:r>
      <w:r>
        <w:rPr>
          <w:color w:val="000000"/>
        </w:rPr>
        <w:t xml:space="preserve">. Frappe Framework Documentation. </w:t>
      </w:r>
      <w:hyperlink r:id="rId19" w:history="1">
        <w:r>
          <w:rPr>
            <w:rStyle w:val="Hipervnculo"/>
          </w:rPr>
          <w:t>https://docs.frappe.io/framework/user/en/introduction</w:t>
        </w:r>
      </w:hyperlink>
    </w:p>
    <w:p w14:paraId="2112EF9A" w14:textId="77777777" w:rsidR="001522EB" w:rsidRDefault="0013026C">
      <w:pPr>
        <w:ind w:left="720" w:hanging="720"/>
      </w:pPr>
      <w:r>
        <w:rPr>
          <w:color w:val="000000"/>
        </w:rPr>
        <w:t>Frappe Technologies. (s. f.</w:t>
      </w:r>
      <w:r>
        <w:rPr>
          <w:color w:val="000000"/>
        </w:rPr>
        <w:noBreakHyphen/>
        <w:t xml:space="preserve">f). </w:t>
      </w:r>
      <w:r>
        <w:rPr>
          <w:i/>
          <w:iCs/>
          <w:color w:val="000000"/>
        </w:rPr>
        <w:t>Item</w:t>
      </w:r>
      <w:r>
        <w:rPr>
          <w:color w:val="000000"/>
        </w:rPr>
        <w:t xml:space="preserve">. ERPNext Documentation (v12). </w:t>
      </w:r>
      <w:hyperlink r:id="rId20" w:history="1">
        <w:r>
          <w:rPr>
            <w:rStyle w:val="Hipervnculo"/>
          </w:rPr>
          <w:t>https://docs.erpnext.com/docs/v12/user/manual/en/stock/item</w:t>
        </w:r>
      </w:hyperlink>
    </w:p>
    <w:p w14:paraId="6E7E9E04" w14:textId="77777777" w:rsidR="001522EB" w:rsidRDefault="0013026C">
      <w:pPr>
        <w:ind w:left="720" w:hanging="720"/>
      </w:pPr>
      <w:r>
        <w:rPr>
          <w:color w:val="000000"/>
        </w:rPr>
        <w:t>Frappe Technologies. (s. f.</w:t>
      </w:r>
      <w:r>
        <w:rPr>
          <w:color w:val="000000"/>
        </w:rPr>
        <w:noBreakHyphen/>
        <w:t xml:space="preserve">g). </w:t>
      </w:r>
      <w:r>
        <w:rPr>
          <w:i/>
          <w:iCs/>
          <w:color w:val="000000"/>
        </w:rPr>
        <w:t>Stock entry</w:t>
      </w:r>
      <w:r>
        <w:rPr>
          <w:color w:val="000000"/>
        </w:rPr>
        <w:t xml:space="preserve">. ERPNext Documentation. </w:t>
      </w:r>
      <w:hyperlink r:id="rId21" w:history="1">
        <w:r>
          <w:rPr>
            <w:rStyle w:val="Hipervnculo"/>
          </w:rPr>
          <w:t>https://docs.frappe.io/erpnext/stock-entry</w:t>
        </w:r>
      </w:hyperlink>
    </w:p>
    <w:p w14:paraId="0A80ECB4" w14:textId="77777777" w:rsidR="001522EB" w:rsidRDefault="0013026C">
      <w:pPr>
        <w:ind w:left="720" w:hanging="720"/>
      </w:pPr>
      <w:r>
        <w:rPr>
          <w:color w:val="000000"/>
        </w:rPr>
        <w:t>Frappe Technologies. (s. f.</w:t>
      </w:r>
      <w:r>
        <w:rPr>
          <w:color w:val="000000"/>
        </w:rPr>
        <w:noBreakHyphen/>
        <w:t xml:space="preserve">h). </w:t>
      </w:r>
      <w:r>
        <w:rPr>
          <w:i/>
          <w:iCs/>
          <w:color w:val="000000"/>
        </w:rPr>
        <w:t>Stock ledger report</w:t>
      </w:r>
      <w:r>
        <w:rPr>
          <w:color w:val="000000"/>
        </w:rPr>
        <w:t xml:space="preserve">. ERPNext Documentation. </w:t>
      </w:r>
      <w:hyperlink r:id="rId22" w:history="1">
        <w:r>
          <w:rPr>
            <w:rStyle w:val="Hipervnculo"/>
          </w:rPr>
          <w:t>https://docs.frappe.io/erpnext/stock-ledger</w:t>
        </w:r>
      </w:hyperlink>
    </w:p>
    <w:p w14:paraId="0F056293" w14:textId="77777777" w:rsidR="001522EB" w:rsidRDefault="0013026C">
      <w:pPr>
        <w:ind w:left="720" w:hanging="720"/>
      </w:pPr>
      <w:r>
        <w:rPr>
          <w:color w:val="000000"/>
        </w:rPr>
        <w:t xml:space="preserve">Lewis, J., &amp; Fowler, M. (2014, 25 de marzo). </w:t>
      </w:r>
      <w:r>
        <w:rPr>
          <w:i/>
          <w:iCs/>
          <w:color w:val="000000"/>
        </w:rPr>
        <w:t>Microservices: A definition of this new architectural term</w:t>
      </w:r>
      <w:r>
        <w:rPr>
          <w:color w:val="000000"/>
        </w:rPr>
        <w:t xml:space="preserve">. martinfowler.com. </w:t>
      </w:r>
      <w:hyperlink r:id="rId23" w:history="1">
        <w:r>
          <w:rPr>
            <w:rStyle w:val="Hipervnculo"/>
          </w:rPr>
          <w:t>https://martinfowler.com/articles/microservices.html</w:t>
        </w:r>
      </w:hyperlink>
    </w:p>
    <w:p w14:paraId="5CA3692F" w14:textId="77777777" w:rsidR="001522EB" w:rsidRDefault="0013026C">
      <w:pPr>
        <w:ind w:left="720" w:hanging="720"/>
      </w:pPr>
      <w:r>
        <w:rPr>
          <w:color w:val="000000"/>
        </w:rPr>
        <w:t xml:space="preserve">Microsoft. (2025). </w:t>
      </w:r>
      <w:r>
        <w:rPr>
          <w:i/>
          <w:iCs/>
          <w:color w:val="000000"/>
        </w:rPr>
        <w:t>Microservices architecture style</w:t>
      </w:r>
      <w:r>
        <w:rPr>
          <w:color w:val="000000"/>
        </w:rPr>
        <w:t xml:space="preserve">. Azure Architecture Center. </w:t>
      </w:r>
      <w:hyperlink r:id="rId24" w:history="1">
        <w:r>
          <w:rPr>
            <w:rStyle w:val="Hipervnculo"/>
          </w:rPr>
          <w:t>https://learn.microsoft.com/en-us/azure/architecture/guide/architecture-styles/microservices</w:t>
        </w:r>
      </w:hyperlink>
    </w:p>
    <w:p w14:paraId="04070A5E" w14:textId="77777777" w:rsidR="001522EB" w:rsidRDefault="0013026C">
      <w:pPr>
        <w:ind w:left="720" w:hanging="720"/>
      </w:pPr>
      <w:r>
        <w:rPr>
          <w:color w:val="000000"/>
        </w:rPr>
        <w:t>Odoo S.A. (s. f.</w:t>
      </w:r>
      <w:r>
        <w:rPr>
          <w:color w:val="000000"/>
        </w:rPr>
        <w:noBreakHyphen/>
        <w:t xml:space="preserve">a). </w:t>
      </w:r>
      <w:r>
        <w:rPr>
          <w:i/>
          <w:iCs/>
          <w:color w:val="000000"/>
        </w:rPr>
        <w:t>Chapter 1: Architecture overview</w:t>
      </w:r>
      <w:r>
        <w:rPr>
          <w:color w:val="000000"/>
        </w:rPr>
        <w:t xml:space="preserve">. Odoo 19.0 Documentation. </w:t>
      </w:r>
      <w:hyperlink r:id="rId25" w:history="1">
        <w:r>
          <w:rPr>
            <w:rStyle w:val="Hipervnculo"/>
          </w:rPr>
          <w:t>https://www.odoo.com/documentation/19.0/developer/tutorials/server_framework_101/01_architecture.html</w:t>
        </w:r>
      </w:hyperlink>
    </w:p>
    <w:p w14:paraId="1D2566E8" w14:textId="77777777" w:rsidR="001522EB" w:rsidRDefault="0013026C">
      <w:pPr>
        <w:ind w:left="720" w:hanging="720"/>
      </w:pPr>
      <w:r>
        <w:rPr>
          <w:color w:val="000000"/>
        </w:rPr>
        <w:t>Odoo S.A. (s. f.</w:t>
      </w:r>
      <w:r>
        <w:rPr>
          <w:color w:val="000000"/>
        </w:rPr>
        <w:noBreakHyphen/>
        <w:t xml:space="preserve">b). </w:t>
      </w:r>
      <w:r>
        <w:rPr>
          <w:i/>
          <w:iCs/>
          <w:color w:val="000000"/>
        </w:rPr>
        <w:t>Licenses</w:t>
      </w:r>
      <w:r>
        <w:rPr>
          <w:color w:val="000000"/>
        </w:rPr>
        <w:t xml:space="preserve">. Odoo 19.0 Documentation. </w:t>
      </w:r>
      <w:hyperlink r:id="rId26" w:history="1">
        <w:r>
          <w:rPr>
            <w:rStyle w:val="Hipervnculo"/>
          </w:rPr>
          <w:t>https://www.odoo.com/documentation/19.0/legal/licenses.html</w:t>
        </w:r>
      </w:hyperlink>
    </w:p>
    <w:p w14:paraId="3EE992F2" w14:textId="77777777" w:rsidR="001522EB" w:rsidRDefault="0013026C">
      <w:pPr>
        <w:ind w:left="720" w:hanging="720"/>
      </w:pPr>
      <w:r>
        <w:rPr>
          <w:color w:val="000000"/>
        </w:rPr>
        <w:t>Odoo S.A. (s. f.</w:t>
      </w:r>
      <w:r>
        <w:rPr>
          <w:color w:val="000000"/>
        </w:rPr>
        <w:noBreakHyphen/>
        <w:t xml:space="preserve">c). </w:t>
      </w:r>
      <w:r>
        <w:rPr>
          <w:i/>
          <w:iCs/>
          <w:color w:val="000000"/>
        </w:rPr>
        <w:t>Odoo Inventory: Features</w:t>
      </w:r>
      <w:r>
        <w:rPr>
          <w:color w:val="000000"/>
        </w:rPr>
        <w:t xml:space="preserve">. </w:t>
      </w:r>
      <w:hyperlink r:id="rId27" w:history="1">
        <w:r>
          <w:rPr>
            <w:rStyle w:val="Hipervnculo"/>
          </w:rPr>
          <w:t>https://www.odoo.com/app/inventory-features</w:t>
        </w:r>
      </w:hyperlink>
    </w:p>
    <w:p w14:paraId="21B71E64" w14:textId="77777777" w:rsidR="001522EB" w:rsidRDefault="0013026C">
      <w:pPr>
        <w:ind w:left="720" w:hanging="720"/>
      </w:pPr>
      <w:r>
        <w:rPr>
          <w:color w:val="000000"/>
        </w:rPr>
        <w:t>Odoo S.A. (s. f.</w:t>
      </w:r>
      <w:r>
        <w:rPr>
          <w:color w:val="000000"/>
        </w:rPr>
        <w:noBreakHyphen/>
        <w:t xml:space="preserve">d). </w:t>
      </w:r>
      <w:r>
        <w:rPr>
          <w:i/>
          <w:iCs/>
          <w:color w:val="000000"/>
        </w:rPr>
        <w:t>Reordering rules</w:t>
      </w:r>
      <w:r>
        <w:rPr>
          <w:color w:val="000000"/>
        </w:rPr>
        <w:t xml:space="preserve">. Odoo 18.0 Documentation. </w:t>
      </w:r>
      <w:hyperlink r:id="rId28" w:history="1">
        <w:r>
          <w:rPr>
            <w:rStyle w:val="Hipervnculo"/>
          </w:rPr>
          <w:t>https://www.odoo.com/documentation/18.0/applications/inventory_and_mrp/inventory/warehouses_storage/replenishment/reordering_rules.html</w:t>
        </w:r>
      </w:hyperlink>
    </w:p>
    <w:p w14:paraId="091598F4" w14:textId="77777777" w:rsidR="001522EB" w:rsidRDefault="0013026C">
      <w:pPr>
        <w:ind w:left="720" w:hanging="720"/>
      </w:pPr>
      <w:r>
        <w:rPr>
          <w:color w:val="000000"/>
        </w:rPr>
        <w:t>Zoho Corporation. (s. f.</w:t>
      </w:r>
      <w:r>
        <w:rPr>
          <w:color w:val="000000"/>
        </w:rPr>
        <w:noBreakHyphen/>
        <w:t xml:space="preserve">a). </w:t>
      </w:r>
      <w:r>
        <w:rPr>
          <w:i/>
          <w:iCs/>
          <w:color w:val="000000"/>
        </w:rPr>
        <w:t>Additional features under items</w:t>
      </w:r>
      <w:r>
        <w:rPr>
          <w:color w:val="000000"/>
        </w:rPr>
        <w:t xml:space="preserve">. Zoho Inventory Help. </w:t>
      </w:r>
      <w:hyperlink r:id="rId29" w:history="1">
        <w:r>
          <w:rPr>
            <w:rStyle w:val="Hipervnculo"/>
          </w:rPr>
          <w:t>https://www.zoho.com/inventory/help/items/additional-features.html</w:t>
        </w:r>
      </w:hyperlink>
    </w:p>
    <w:p w14:paraId="1C998C14" w14:textId="77777777" w:rsidR="001522EB" w:rsidRDefault="0013026C">
      <w:pPr>
        <w:ind w:left="720" w:hanging="720"/>
      </w:pPr>
      <w:r>
        <w:rPr>
          <w:color w:val="000000"/>
        </w:rPr>
        <w:t>Zoho Corporation. (s. f.</w:t>
      </w:r>
      <w:r>
        <w:rPr>
          <w:color w:val="000000"/>
        </w:rPr>
        <w:noBreakHyphen/>
        <w:t xml:space="preserve">b). </w:t>
      </w:r>
      <w:r>
        <w:rPr>
          <w:i/>
          <w:iCs/>
          <w:color w:val="000000"/>
        </w:rPr>
        <w:t>Warehouse settings</w:t>
      </w:r>
      <w:r>
        <w:rPr>
          <w:color w:val="000000"/>
        </w:rPr>
        <w:t xml:space="preserve">. Zoho Inventory API Documentation. </w:t>
      </w:r>
      <w:hyperlink r:id="rId30" w:history="1">
        <w:r>
          <w:rPr>
            <w:rStyle w:val="Hipervnculo"/>
          </w:rPr>
          <w:t>https://www.zoho.com/inventory/api/v1/multi-warehouse/</w:t>
        </w:r>
      </w:hyperlink>
    </w:p>
    <w:p w14:paraId="499FA106" w14:textId="77777777" w:rsidR="001522EB" w:rsidRDefault="0013026C">
      <w:pPr>
        <w:ind w:left="720" w:hanging="720"/>
      </w:pPr>
      <w:r>
        <w:rPr>
          <w:color w:val="000000"/>
        </w:rPr>
        <w:t>Zoho Corporation. (s. f.</w:t>
      </w:r>
      <w:r>
        <w:rPr>
          <w:color w:val="000000"/>
        </w:rPr>
        <w:noBreakHyphen/>
        <w:t xml:space="preserve">c). </w:t>
      </w:r>
      <w:r>
        <w:rPr>
          <w:i/>
          <w:iCs/>
          <w:color w:val="000000"/>
        </w:rPr>
        <w:t>What are the features available in Zoho Inventory?</w:t>
      </w:r>
      <w:r>
        <w:rPr>
          <w:color w:val="000000"/>
        </w:rPr>
        <w:t xml:space="preserve"> Zoho Inventory Knowledge Base. </w:t>
      </w:r>
      <w:hyperlink r:id="rId31" w:history="1">
        <w:r>
          <w:rPr>
            <w:rStyle w:val="Hipervnculo"/>
          </w:rPr>
          <w:t>https://www.zoho.com/us/inventory/kb/general-overview/zom-feature-list.html</w:t>
        </w:r>
      </w:hyperlink>
    </w:p>
    <w:sectPr w:rsidR="001522EB">
      <w:headerReference w:type="even" r:id="rId32"/>
      <w:headerReference w:type="default" r:id="rId33"/>
      <w:pgSz w:w="12240" w:h="15840"/>
      <w:pgMar w:top="1440" w:right="1440" w:bottom="1440" w:left="2041"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F0A9E" w14:textId="77777777" w:rsidR="0013026C" w:rsidRDefault="0013026C">
      <w:pPr>
        <w:spacing w:after="0" w:line="240" w:lineRule="auto"/>
      </w:pPr>
      <w:r>
        <w:separator/>
      </w:r>
    </w:p>
  </w:endnote>
  <w:endnote w:type="continuationSeparator" w:id="0">
    <w:p w14:paraId="54AF058D" w14:textId="77777777" w:rsidR="0013026C" w:rsidRDefault="00130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0D06E" w14:textId="77777777" w:rsidR="0013026C" w:rsidRDefault="0013026C">
      <w:pPr>
        <w:spacing w:after="0" w:line="240" w:lineRule="auto"/>
      </w:pPr>
      <w:r>
        <w:separator/>
      </w:r>
    </w:p>
  </w:footnote>
  <w:footnote w:type="continuationSeparator" w:id="0">
    <w:p w14:paraId="0C7BF239" w14:textId="77777777" w:rsidR="0013026C" w:rsidRDefault="001302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ED6B" w14:textId="77777777" w:rsidR="001522EB" w:rsidRDefault="001522EB">
    <w:pPr>
      <w:widowControl w:val="0"/>
      <w:pBdr>
        <w:top w:val="nil"/>
        <w:left w:val="nil"/>
        <w:bottom w:val="nil"/>
        <w:right w:val="nil"/>
        <w:between w:val="nil"/>
      </w:pBdr>
      <w:spacing w:after="0"/>
      <w:rPr>
        <w:color w:val="000000"/>
        <w:sz w:val="24"/>
        <w:szCs w:val="24"/>
      </w:rPr>
    </w:pPr>
  </w:p>
  <w:tbl>
    <w:tblPr>
      <w:tblStyle w:val="a2"/>
      <w:tblW w:w="8577" w:type="dxa"/>
      <w:tblInd w:w="108" w:type="dxa"/>
      <w:tblBorders>
        <w:bottom w:val="single" w:sz="4" w:space="0" w:color="000000"/>
      </w:tblBorders>
      <w:tblLayout w:type="fixed"/>
      <w:tblLook w:val="0400" w:firstRow="0" w:lastRow="0" w:firstColumn="0" w:lastColumn="0" w:noHBand="0" w:noVBand="1"/>
    </w:tblPr>
    <w:tblGrid>
      <w:gridCol w:w="432"/>
      <w:gridCol w:w="8145"/>
    </w:tblGrid>
    <w:tr w:rsidR="001522EB" w14:paraId="2C996FE7" w14:textId="77777777">
      <w:tc>
        <w:tcPr>
          <w:tcW w:w="432" w:type="dxa"/>
        </w:tcPr>
        <w:p w14:paraId="7AC8CF20" w14:textId="77777777" w:rsidR="001522EB" w:rsidRDefault="0013026C">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fldChar w:fldCharType="begin"/>
          </w:r>
          <w:r>
            <w:rPr>
              <w:color w:val="000000"/>
            </w:rPr>
            <w:instrText>PAGE</w:instrText>
          </w:r>
          <w:r>
            <w:rPr>
              <w:color w:val="000000"/>
            </w:rPr>
            <w:fldChar w:fldCharType="separate"/>
          </w:r>
          <w:r w:rsidR="0027188F">
            <w:rPr>
              <w:noProof/>
              <w:color w:val="000000"/>
            </w:rPr>
            <w:t>2</w:t>
          </w:r>
          <w:r>
            <w:rPr>
              <w:color w:val="000000"/>
            </w:rPr>
            <w:fldChar w:fldCharType="end"/>
          </w:r>
        </w:p>
      </w:tc>
      <w:tc>
        <w:tcPr>
          <w:tcW w:w="8145" w:type="dxa"/>
        </w:tcPr>
        <w:p w14:paraId="04BEF3BE" w14:textId="77777777" w:rsidR="001522EB" w:rsidRDefault="0013026C">
          <w:pPr>
            <w:pBdr>
              <w:top w:val="nil"/>
              <w:left w:val="nil"/>
              <w:bottom w:val="nil"/>
              <w:right w:val="nil"/>
              <w:between w:val="nil"/>
            </w:pBdr>
            <w:tabs>
              <w:tab w:val="left" w:pos="2580"/>
              <w:tab w:val="left" w:pos="2985"/>
              <w:tab w:val="center" w:pos="4419"/>
              <w:tab w:val="right" w:pos="8838"/>
            </w:tabs>
            <w:spacing w:after="0"/>
            <w:ind w:left="360"/>
            <w:jc w:val="right"/>
            <w:rPr>
              <w:color w:val="000000"/>
            </w:rPr>
          </w:pPr>
          <w:r>
            <w:rPr>
              <w:color w:val="000000"/>
            </w:rPr>
            <w:t>Sistema de gestión de inventarios – Entrega 1</w:t>
          </w:r>
        </w:p>
      </w:tc>
    </w:tr>
  </w:tbl>
  <w:p w14:paraId="1566CD62" w14:textId="77777777" w:rsidR="001522EB" w:rsidRDefault="001522EB">
    <w:pPr>
      <w:pBdr>
        <w:top w:val="nil"/>
        <w:left w:val="nil"/>
        <w:bottom w:val="nil"/>
        <w:right w:val="nil"/>
        <w:between w:val="nil"/>
      </w:pBdr>
      <w:tabs>
        <w:tab w:val="left" w:pos="2580"/>
        <w:tab w:val="left" w:pos="2985"/>
        <w:tab w:val="center" w:pos="4419"/>
        <w:tab w:val="right" w:pos="8838"/>
      </w:tabs>
      <w:spacing w:after="0"/>
      <w:jc w:val="right"/>
      <w:rPr>
        <w:b/>
        <w:bCs/>
        <w:color w:val="1F497D"/>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9735E" w14:textId="77777777" w:rsidR="001522EB" w:rsidRDefault="001522EB">
    <w:pPr>
      <w:widowControl w:val="0"/>
      <w:pBdr>
        <w:top w:val="nil"/>
        <w:left w:val="nil"/>
        <w:bottom w:val="nil"/>
        <w:right w:val="nil"/>
        <w:between w:val="nil"/>
      </w:pBdr>
      <w:spacing w:after="0"/>
      <w:rPr>
        <w:b/>
        <w:bCs/>
        <w:color w:val="1F497D"/>
        <w:sz w:val="28"/>
        <w:szCs w:val="28"/>
      </w:rPr>
    </w:pPr>
  </w:p>
  <w:tbl>
    <w:tblPr>
      <w:tblStyle w:val="a3"/>
      <w:tblW w:w="8577" w:type="dxa"/>
      <w:tblInd w:w="108" w:type="dxa"/>
      <w:tblBorders>
        <w:bottom w:val="single" w:sz="4" w:space="0" w:color="000000"/>
      </w:tblBorders>
      <w:tblLayout w:type="fixed"/>
      <w:tblLook w:val="0400" w:firstRow="0" w:lastRow="0" w:firstColumn="0" w:lastColumn="0" w:noHBand="0" w:noVBand="1"/>
    </w:tblPr>
    <w:tblGrid>
      <w:gridCol w:w="432"/>
      <w:gridCol w:w="8145"/>
    </w:tblGrid>
    <w:tr w:rsidR="001522EB" w14:paraId="22434855" w14:textId="77777777">
      <w:tc>
        <w:tcPr>
          <w:tcW w:w="432" w:type="dxa"/>
        </w:tcPr>
        <w:p w14:paraId="38EBB87D" w14:textId="77777777" w:rsidR="001522EB" w:rsidRDefault="0013026C">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fldChar w:fldCharType="begin"/>
          </w:r>
          <w:r>
            <w:rPr>
              <w:color w:val="000000"/>
            </w:rPr>
            <w:instrText>PAGE</w:instrText>
          </w:r>
          <w:r>
            <w:rPr>
              <w:color w:val="000000"/>
            </w:rPr>
            <w:fldChar w:fldCharType="separate"/>
          </w:r>
          <w:r w:rsidR="0027188F">
            <w:rPr>
              <w:noProof/>
              <w:color w:val="000000"/>
            </w:rPr>
            <w:t>3</w:t>
          </w:r>
          <w:r>
            <w:rPr>
              <w:color w:val="000000"/>
            </w:rPr>
            <w:fldChar w:fldCharType="end"/>
          </w:r>
        </w:p>
      </w:tc>
      <w:tc>
        <w:tcPr>
          <w:tcW w:w="8145" w:type="dxa"/>
        </w:tcPr>
        <w:p w14:paraId="461156FF" w14:textId="77777777" w:rsidR="001522EB" w:rsidRDefault="0013026C">
          <w:pPr>
            <w:pBdr>
              <w:top w:val="nil"/>
              <w:left w:val="nil"/>
              <w:bottom w:val="nil"/>
              <w:right w:val="nil"/>
              <w:between w:val="nil"/>
            </w:pBdr>
            <w:tabs>
              <w:tab w:val="left" w:pos="2580"/>
              <w:tab w:val="left" w:pos="2985"/>
              <w:tab w:val="center" w:pos="4419"/>
              <w:tab w:val="right" w:pos="8838"/>
            </w:tabs>
            <w:spacing w:after="0"/>
            <w:ind w:left="360"/>
            <w:jc w:val="right"/>
            <w:rPr>
              <w:color w:val="000000"/>
            </w:rPr>
          </w:pPr>
          <w:r>
            <w:rPr>
              <w:color w:val="000000"/>
            </w:rPr>
            <w:t>Sistema de gestión de inventarios – Entrega 1</w:t>
          </w:r>
        </w:p>
      </w:tc>
    </w:tr>
  </w:tbl>
  <w:p w14:paraId="0A3ABA9A" w14:textId="77777777" w:rsidR="001522EB" w:rsidRDefault="001522EB">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9635B" w14:textId="77777777" w:rsidR="001522EB" w:rsidRDefault="001522EB">
    <w:pPr>
      <w:widowControl w:val="0"/>
      <w:pBdr>
        <w:top w:val="nil"/>
        <w:left w:val="nil"/>
        <w:bottom w:val="nil"/>
        <w:right w:val="nil"/>
        <w:between w:val="nil"/>
      </w:pBdr>
      <w:spacing w:after="0"/>
      <w:rPr>
        <w:b/>
        <w:bCs/>
        <w:color w:val="1F497D"/>
        <w:sz w:val="28"/>
        <w:szCs w:val="28"/>
      </w:rPr>
    </w:pPr>
  </w:p>
  <w:tbl>
    <w:tblPr>
      <w:tblStyle w:val="a4"/>
      <w:tblW w:w="8577" w:type="dxa"/>
      <w:tblInd w:w="108" w:type="dxa"/>
      <w:tblBorders>
        <w:bottom w:val="single" w:sz="4" w:space="0" w:color="000000"/>
      </w:tblBorders>
      <w:tblLayout w:type="fixed"/>
      <w:tblLook w:val="0400" w:firstRow="0" w:lastRow="0" w:firstColumn="0" w:lastColumn="0" w:noHBand="0" w:noVBand="1"/>
    </w:tblPr>
    <w:tblGrid>
      <w:gridCol w:w="432"/>
      <w:gridCol w:w="8145"/>
    </w:tblGrid>
    <w:tr w:rsidR="001522EB" w14:paraId="44E8255D" w14:textId="77777777">
      <w:tc>
        <w:tcPr>
          <w:tcW w:w="432" w:type="dxa"/>
        </w:tcPr>
        <w:p w14:paraId="0A957A0C" w14:textId="77777777" w:rsidR="001522EB" w:rsidRDefault="0013026C">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fldChar w:fldCharType="begin"/>
          </w:r>
          <w:r>
            <w:rPr>
              <w:color w:val="000000"/>
            </w:rPr>
            <w:instrText>PAGE</w:instrText>
          </w:r>
          <w:r>
            <w:rPr>
              <w:color w:val="000000"/>
            </w:rPr>
            <w:fldChar w:fldCharType="separate"/>
          </w:r>
          <w:r w:rsidR="0027188F">
            <w:rPr>
              <w:noProof/>
              <w:color w:val="000000"/>
            </w:rPr>
            <w:t>30</w:t>
          </w:r>
          <w:r>
            <w:rPr>
              <w:color w:val="000000"/>
            </w:rPr>
            <w:fldChar w:fldCharType="end"/>
          </w:r>
        </w:p>
      </w:tc>
      <w:tc>
        <w:tcPr>
          <w:tcW w:w="8145" w:type="dxa"/>
        </w:tcPr>
        <w:p w14:paraId="2377C5B3" w14:textId="77777777" w:rsidR="001522EB" w:rsidRDefault="0013026C">
          <w:pPr>
            <w:pBdr>
              <w:top w:val="nil"/>
              <w:left w:val="nil"/>
              <w:bottom w:val="nil"/>
              <w:right w:val="nil"/>
              <w:between w:val="nil"/>
            </w:pBdr>
            <w:tabs>
              <w:tab w:val="left" w:pos="2580"/>
              <w:tab w:val="left" w:pos="2985"/>
              <w:tab w:val="center" w:pos="4419"/>
              <w:tab w:val="right" w:pos="8838"/>
            </w:tabs>
            <w:spacing w:after="0"/>
            <w:ind w:left="360"/>
            <w:jc w:val="right"/>
            <w:rPr>
              <w:color w:val="000000"/>
            </w:rPr>
          </w:pPr>
          <w:r>
            <w:rPr>
              <w:color w:val="000000"/>
            </w:rPr>
            <w:t>Sistema de gestión de inventarios – Entrega 1</w:t>
          </w:r>
        </w:p>
      </w:tc>
    </w:tr>
  </w:tbl>
  <w:p w14:paraId="18EE499D" w14:textId="77777777" w:rsidR="001522EB" w:rsidRDefault="001522EB">
    <w:pPr>
      <w:pBdr>
        <w:top w:val="nil"/>
        <w:left w:val="nil"/>
        <w:bottom w:val="nil"/>
        <w:right w:val="nil"/>
        <w:between w:val="nil"/>
      </w:pBdr>
      <w:tabs>
        <w:tab w:val="left" w:pos="2580"/>
        <w:tab w:val="left" w:pos="2985"/>
        <w:tab w:val="center" w:pos="4419"/>
        <w:tab w:val="right" w:pos="8838"/>
      </w:tabs>
      <w:spacing w:after="0"/>
      <w:jc w:val="right"/>
      <w:rPr>
        <w:b/>
        <w:bCs/>
        <w:color w:val="1F497D"/>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B6EA2" w14:textId="77777777" w:rsidR="001522EB" w:rsidRDefault="001522EB">
    <w:pPr>
      <w:widowControl w:val="0"/>
      <w:pBdr>
        <w:top w:val="nil"/>
        <w:left w:val="nil"/>
        <w:bottom w:val="nil"/>
        <w:right w:val="nil"/>
        <w:between w:val="nil"/>
      </w:pBdr>
      <w:spacing w:after="0"/>
      <w:rPr>
        <w:b/>
        <w:bCs/>
        <w:color w:val="1F497D"/>
        <w:sz w:val="28"/>
        <w:szCs w:val="28"/>
      </w:rPr>
    </w:pPr>
  </w:p>
  <w:tbl>
    <w:tblPr>
      <w:tblStyle w:val="a5"/>
      <w:tblW w:w="8759" w:type="dxa"/>
      <w:tblInd w:w="0" w:type="dxa"/>
      <w:tblBorders>
        <w:bottom w:val="single" w:sz="4" w:space="0" w:color="000000"/>
      </w:tblBorders>
      <w:tblLayout w:type="fixed"/>
      <w:tblLook w:val="0400" w:firstRow="0" w:lastRow="0" w:firstColumn="0" w:lastColumn="0" w:noHBand="0" w:noVBand="1"/>
    </w:tblPr>
    <w:tblGrid>
      <w:gridCol w:w="7640"/>
      <w:gridCol w:w="1119"/>
    </w:tblGrid>
    <w:tr w:rsidR="001522EB" w14:paraId="6D9A006A" w14:textId="77777777">
      <w:tc>
        <w:tcPr>
          <w:tcW w:w="7640" w:type="dxa"/>
        </w:tcPr>
        <w:p w14:paraId="56200947" w14:textId="77777777" w:rsidR="001522EB" w:rsidRDefault="0013026C">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t>Bibliografía</w:t>
          </w:r>
        </w:p>
      </w:tc>
      <w:tc>
        <w:tcPr>
          <w:tcW w:w="1119" w:type="dxa"/>
        </w:tcPr>
        <w:p w14:paraId="2610CD20" w14:textId="77777777" w:rsidR="001522EB" w:rsidRDefault="0013026C">
          <w:pPr>
            <w:pBdr>
              <w:top w:val="nil"/>
              <w:left w:val="nil"/>
              <w:bottom w:val="nil"/>
              <w:right w:val="nil"/>
              <w:between w:val="nil"/>
            </w:pBdr>
            <w:tabs>
              <w:tab w:val="left" w:pos="2580"/>
              <w:tab w:val="left" w:pos="2985"/>
              <w:tab w:val="center" w:pos="4419"/>
              <w:tab w:val="right" w:pos="8838"/>
            </w:tabs>
            <w:spacing w:after="0"/>
            <w:jc w:val="right"/>
            <w:rPr>
              <w:color w:val="000000"/>
            </w:rPr>
          </w:pPr>
          <w:r>
            <w:rPr>
              <w:color w:val="000000"/>
            </w:rPr>
            <w:fldChar w:fldCharType="begin"/>
          </w:r>
          <w:r>
            <w:rPr>
              <w:color w:val="000000"/>
            </w:rPr>
            <w:instrText>PAGE</w:instrText>
          </w:r>
          <w:r>
            <w:rPr>
              <w:color w:val="000000"/>
            </w:rPr>
            <w:fldChar w:fldCharType="separate"/>
          </w:r>
          <w:r w:rsidR="0027188F">
            <w:rPr>
              <w:noProof/>
              <w:color w:val="000000"/>
            </w:rPr>
            <w:t>30</w:t>
          </w:r>
          <w:r>
            <w:rPr>
              <w:color w:val="000000"/>
            </w:rPr>
            <w:fldChar w:fldCharType="end"/>
          </w:r>
        </w:p>
      </w:tc>
    </w:tr>
  </w:tbl>
  <w:p w14:paraId="480EE0C3" w14:textId="77777777" w:rsidR="001522EB" w:rsidRDefault="001522EB">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p>
  <w:p w14:paraId="7DD17539" w14:textId="77777777" w:rsidR="001522EB" w:rsidRDefault="001522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05779"/>
    <w:multiLevelType w:val="singleLevel"/>
    <w:tmpl w:val="E88CF252"/>
    <w:lvl w:ilvl="0">
      <w:start w:val="1"/>
      <w:numFmt w:val="bullet"/>
      <w:lvlText w:val="•"/>
      <w:lvlJc w:val="left"/>
      <w:pPr>
        <w:ind w:left="227" w:hanging="170"/>
      </w:pPr>
    </w:lvl>
  </w:abstractNum>
  <w:abstractNum w:abstractNumId="1" w15:restartNumberingAfterBreak="0">
    <w:nsid w:val="1C61606F"/>
    <w:multiLevelType w:val="singleLevel"/>
    <w:tmpl w:val="080A000F"/>
    <w:lvl w:ilvl="0">
      <w:start w:val="1"/>
      <w:numFmt w:val="decimal"/>
      <w:lvlText w:val="%1."/>
      <w:lvlJc w:val="left"/>
      <w:pPr>
        <w:ind w:left="720" w:hanging="360"/>
      </w:pPr>
    </w:lvl>
  </w:abstractNum>
  <w:abstractNum w:abstractNumId="2" w15:restartNumberingAfterBreak="0">
    <w:nsid w:val="31166126"/>
    <w:multiLevelType w:val="multilevel"/>
    <w:tmpl w:val="BB0C4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BC84A0E"/>
    <w:multiLevelType w:val="multilevel"/>
    <w:tmpl w:val="7ACEB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D855BCA"/>
    <w:multiLevelType w:val="multilevel"/>
    <w:tmpl w:val="48FC4F48"/>
    <w:lvl w:ilvl="0">
      <w:start w:val="1"/>
      <w:numFmt w:val="decimal"/>
      <w:lvlText w:val="%1."/>
      <w:lvlJc w:val="left"/>
      <w:pPr>
        <w:ind w:left="567" w:hanging="567"/>
      </w:pPr>
    </w:lvl>
    <w:lvl w:ilvl="1">
      <w:start w:val="1"/>
      <w:numFmt w:val="decimal"/>
      <w:lvlText w:val="%1.%2"/>
      <w:lvlJc w:val="left"/>
      <w:pPr>
        <w:ind w:left="720" w:hanging="720"/>
      </w:pPr>
      <w:rPr>
        <w:b/>
        <w:bCs/>
      </w:rPr>
    </w:lvl>
    <w:lvl w:ilvl="2">
      <w:start w:val="1"/>
      <w:numFmt w:val="decimal"/>
      <w:lvlText w:val="%1.%2.%3"/>
      <w:lvlJc w:val="left"/>
      <w:pPr>
        <w:ind w:left="864" w:hanging="864"/>
      </w:pPr>
      <w:rPr>
        <w:b/>
        <w:bCs/>
      </w:rPr>
    </w:lvl>
    <w:lvl w:ilvl="3">
      <w:start w:val="1"/>
      <w:numFmt w:val="decimal"/>
      <w:lvlText w:val="%1.%2.%3.%4"/>
      <w:lvlJc w:val="left"/>
      <w:pPr>
        <w:ind w:left="2849" w:hanging="864"/>
      </w:pPr>
      <w:rPr>
        <w:b/>
        <w:bCs/>
      </w:rPr>
    </w:lvl>
    <w:lvl w:ilvl="4">
      <w:start w:val="1"/>
      <w:numFmt w:val="decimal"/>
      <w:lvlText w:val="%1.%2.%3.%4.%5"/>
      <w:lvlJc w:val="left"/>
      <w:pPr>
        <w:ind w:left="2993" w:hanging="1008"/>
      </w:pPr>
      <w:rPr>
        <w:b/>
        <w:bCs/>
      </w:rPr>
    </w:lvl>
    <w:lvl w:ilvl="5">
      <w:start w:val="1"/>
      <w:numFmt w:val="decimal"/>
      <w:lvlText w:val="%1.%2.%3.%4.%5.%6"/>
      <w:lvlJc w:val="left"/>
      <w:pPr>
        <w:ind w:left="3137" w:hanging="1152"/>
      </w:pPr>
      <w:rPr>
        <w:b/>
        <w:bCs/>
      </w:rPr>
    </w:lvl>
    <w:lvl w:ilvl="6">
      <w:start w:val="1"/>
      <w:numFmt w:val="decimal"/>
      <w:lvlText w:val="%1.%2.%3.%4.%5.%6.%7"/>
      <w:lvlJc w:val="left"/>
      <w:pPr>
        <w:ind w:left="3281" w:hanging="1294"/>
      </w:pPr>
      <w:rPr>
        <w:b/>
        <w:bCs/>
      </w:rPr>
    </w:lvl>
    <w:lvl w:ilvl="7">
      <w:start w:val="1"/>
      <w:numFmt w:val="decimal"/>
      <w:lvlText w:val="%1.%2.%3.%4.%5.%6.%7.%8"/>
      <w:lvlJc w:val="left"/>
      <w:pPr>
        <w:ind w:left="3425" w:hanging="1440"/>
      </w:pPr>
      <w:rPr>
        <w:b/>
        <w:bCs/>
      </w:rPr>
    </w:lvl>
    <w:lvl w:ilvl="8">
      <w:start w:val="1"/>
      <w:numFmt w:val="decimal"/>
      <w:lvlText w:val="%1.%2.%3.%4.%5.%6.%7.%8.%9"/>
      <w:lvlJc w:val="left"/>
      <w:pPr>
        <w:ind w:left="3569" w:hanging="1584"/>
      </w:pPr>
      <w:rPr>
        <w:b/>
        <w:bCs/>
      </w:rPr>
    </w:lvl>
  </w:abstractNum>
  <w:num w:numId="1" w16cid:durableId="1248736617">
    <w:abstractNumId w:val="2"/>
  </w:num>
  <w:num w:numId="2" w16cid:durableId="1281834903">
    <w:abstractNumId w:val="3"/>
  </w:num>
  <w:num w:numId="3" w16cid:durableId="858353623">
    <w:abstractNumId w:val="4"/>
  </w:num>
  <w:num w:numId="4" w16cid:durableId="1073162533">
    <w:abstractNumId w:val="1"/>
  </w:num>
  <w:num w:numId="5" w16cid:durableId="1839729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2EB"/>
    <w:rsid w:val="0013026C"/>
    <w:rsid w:val="001522EB"/>
    <w:rsid w:val="0027188F"/>
    <w:rsid w:val="00D06CB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38B4C"/>
  <w15:docId w15:val="{1123671F-6EB2-400C-BC0C-A4EC868A7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000" w:after="480" w:line="240" w:lineRule="auto"/>
      <w:ind w:left="284" w:hanging="284"/>
      <w:outlineLvl w:val="0"/>
    </w:pPr>
    <w:rPr>
      <w:b/>
      <w:bCs/>
      <w:sz w:val="40"/>
      <w:szCs w:val="40"/>
    </w:rPr>
  </w:style>
  <w:style w:type="paragraph" w:styleId="Ttulo2">
    <w:name w:val="heading 2"/>
    <w:basedOn w:val="Normal"/>
    <w:next w:val="Normal"/>
    <w:uiPriority w:val="9"/>
    <w:unhideWhenUsed/>
    <w:qFormat/>
    <w:pPr>
      <w:keepNext/>
      <w:keepLines/>
      <w:spacing w:before="400" w:line="240" w:lineRule="auto"/>
      <w:ind w:left="576" w:hanging="360"/>
      <w:outlineLvl w:val="1"/>
    </w:pPr>
    <w:rPr>
      <w:b/>
      <w:bCs/>
      <w:sz w:val="32"/>
      <w:szCs w:val="32"/>
    </w:rPr>
  </w:style>
  <w:style w:type="paragraph" w:styleId="Ttulo3">
    <w:name w:val="heading 3"/>
    <w:basedOn w:val="Normal"/>
    <w:next w:val="Normal"/>
    <w:uiPriority w:val="9"/>
    <w:semiHidden/>
    <w:unhideWhenUsed/>
    <w:qFormat/>
    <w:pPr>
      <w:keepNext/>
      <w:keepLines/>
      <w:spacing w:before="400" w:line="240" w:lineRule="auto"/>
      <w:ind w:left="2160" w:hanging="360"/>
      <w:outlineLvl w:val="2"/>
    </w:pPr>
    <w:rPr>
      <w:b/>
      <w:bCs/>
      <w:sz w:val="28"/>
      <w:szCs w:val="28"/>
    </w:rPr>
  </w:style>
  <w:style w:type="paragraph" w:styleId="Ttulo4">
    <w:name w:val="heading 4"/>
    <w:basedOn w:val="Normal"/>
    <w:next w:val="Normal"/>
    <w:uiPriority w:val="9"/>
    <w:semiHidden/>
    <w:unhideWhenUsed/>
    <w:qFormat/>
    <w:pPr>
      <w:keepNext/>
      <w:keepLines/>
      <w:spacing w:before="400" w:line="240" w:lineRule="auto"/>
      <w:ind w:left="360" w:hanging="720"/>
      <w:outlineLvl w:val="3"/>
    </w:pPr>
  </w:style>
  <w:style w:type="paragraph" w:styleId="Ttulo5">
    <w:name w:val="heading 5"/>
    <w:basedOn w:val="Normal"/>
    <w:next w:val="Normal"/>
    <w:uiPriority w:val="9"/>
    <w:semiHidden/>
    <w:unhideWhenUsed/>
    <w:qFormat/>
    <w:pPr>
      <w:keepNext/>
      <w:keepLines/>
      <w:spacing w:before="200" w:after="0"/>
      <w:ind w:left="3600" w:hanging="360"/>
      <w:outlineLvl w:val="4"/>
    </w:pPr>
    <w:rPr>
      <w:color w:val="243F61"/>
    </w:rPr>
  </w:style>
  <w:style w:type="paragraph" w:styleId="Ttulo6">
    <w:name w:val="heading 6"/>
    <w:basedOn w:val="Normal"/>
    <w:next w:val="Normal"/>
    <w:uiPriority w:val="9"/>
    <w:semiHidden/>
    <w:unhideWhenUsed/>
    <w:qFormat/>
    <w:pPr>
      <w:keepNext/>
      <w:keepLines/>
      <w:spacing w:before="200" w:after="0"/>
      <w:ind w:left="4320" w:hanging="360"/>
      <w:outlineLvl w:val="5"/>
    </w:pPr>
    <w:rPr>
      <w:rFonts w:ascii="Cambria" w:eastAsia="Cambria" w:hAnsi="Cambria" w:cs="Cambria"/>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480" w:after="300" w:line="240" w:lineRule="auto"/>
      <w:jc w:val="center"/>
    </w:pPr>
    <w:rPr>
      <w:b/>
      <w:bCs/>
      <w:sz w:val="48"/>
      <w:szCs w:val="48"/>
    </w:rPr>
  </w:style>
  <w:style w:type="paragraph" w:styleId="Subttulo">
    <w:name w:val="Subtitle"/>
    <w:basedOn w:val="Normal"/>
    <w:next w:val="Normal"/>
    <w:uiPriority w:val="11"/>
    <w:qFormat/>
    <w:pPr>
      <w:spacing w:before="2000" w:after="480" w:line="240" w:lineRule="auto"/>
      <w:ind w:left="714" w:hanging="357"/>
    </w:pPr>
    <w:rPr>
      <w:b/>
      <w:bCs/>
      <w:sz w:val="42"/>
      <w:szCs w:val="42"/>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paragraph" w:styleId="TDC1">
    <w:name w:val="toc 1"/>
    <w:basedOn w:val="Normal"/>
    <w:next w:val="Normal"/>
    <w:uiPriority w:val="39"/>
    <w:unhideWhenUsed/>
    <w:pPr>
      <w:tabs>
        <w:tab w:val="left" w:pos="567"/>
        <w:tab w:val="right" w:leader="dot" w:pos="8749"/>
      </w:tabs>
      <w:spacing w:before="100" w:after="40" w:line="240" w:lineRule="auto"/>
    </w:pPr>
    <w:rPr>
      <w:b/>
      <w:bCs/>
    </w:rPr>
  </w:style>
  <w:style w:type="paragraph" w:styleId="TDC2">
    <w:name w:val="toc 2"/>
    <w:basedOn w:val="Normal"/>
    <w:next w:val="Normal"/>
    <w:uiPriority w:val="39"/>
    <w:unhideWhenUsed/>
    <w:pPr>
      <w:tabs>
        <w:tab w:val="left" w:pos="1134"/>
        <w:tab w:val="right" w:leader="dot" w:pos="8749"/>
      </w:tabs>
      <w:spacing w:after="30" w:line="240" w:lineRule="auto"/>
      <w:ind w:left="567"/>
    </w:pPr>
  </w:style>
  <w:style w:type="character" w:styleId="Hipervnculo">
    <w:name w:val="Hyperlink"/>
    <w:uiPriority w:val="99"/>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artinfowler.com/articles/microservice-trade-offs.html" TargetMode="External"/><Relationship Id="rId18" Type="http://schemas.openxmlformats.org/officeDocument/2006/relationships/hyperlink" Target="https://github.com/frappe/frappe" TargetMode="External"/><Relationship Id="rId26" Type="http://schemas.openxmlformats.org/officeDocument/2006/relationships/hyperlink" Target="https://www.odoo.com/documentation/19.0/legal/licenses.html" TargetMode="External"/><Relationship Id="rId3" Type="http://schemas.openxmlformats.org/officeDocument/2006/relationships/settings" Target="settings.xml"/><Relationship Id="rId21" Type="http://schemas.openxmlformats.org/officeDocument/2006/relationships/hyperlink" Target="https://docs.frappe.io/erpnext/stock-entry"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oi.org/10.1007/978-3-319-67425-4_12" TargetMode="External"/><Relationship Id="rId17" Type="http://schemas.openxmlformats.org/officeDocument/2006/relationships/hyperlink" Target="https://github.com/frappe/erpnext" TargetMode="External"/><Relationship Id="rId25" Type="http://schemas.openxmlformats.org/officeDocument/2006/relationships/hyperlink" Target="https://www.odoo.com/documentation/19.0/developer/tutorials/server_framework_101/01_architecture.html" TargetMode="External"/><Relationship Id="rId33" Type="http://schemas.openxmlformats.org/officeDocument/2006/relationships/header" Target="header4.xml"/><Relationship Id="rId2" Type="http://schemas.openxmlformats.org/officeDocument/2006/relationships/styles" Target="styles.xml"/><Relationship Id="rId16" Type="http://schemas.openxmlformats.org/officeDocument/2006/relationships/hyperlink" Target="https://frappe.io/framework" TargetMode="External"/><Relationship Id="rId20" Type="http://schemas.openxmlformats.org/officeDocument/2006/relationships/hyperlink" Target="https://docs.erpnext.com/docs/v12/user/manual/en/stock/item" TargetMode="External"/><Relationship Id="rId29" Type="http://schemas.openxmlformats.org/officeDocument/2006/relationships/hyperlink" Target="https://www.zoho.com/inventory/help/items/additional-feature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yperlink" Target="https://learn.microsoft.com/en-us/azure/architecture/guide/architecture-styles/microservices" TargetMode="External"/><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docs.erpnext.com/docs/v13/user/manual/en/stock/articles/auto-creation-of-material-request" TargetMode="External"/><Relationship Id="rId23" Type="http://schemas.openxmlformats.org/officeDocument/2006/relationships/hyperlink" Target="https://martinfowler.com/articles/microservices.html" TargetMode="External"/><Relationship Id="rId28" Type="http://schemas.openxmlformats.org/officeDocument/2006/relationships/hyperlink" Target="https://www.odoo.com/documentation/18.0/applications/inventory_and_mrp/inventory/warehouses_storage/replenishment/reordering_rules.html" TargetMode="External"/><Relationship Id="rId10" Type="http://schemas.openxmlformats.org/officeDocument/2006/relationships/header" Target="header1.xml"/><Relationship Id="rId19" Type="http://schemas.openxmlformats.org/officeDocument/2006/relationships/hyperlink" Target="https://docs.frappe.io/framework/user/en/introduction" TargetMode="External"/><Relationship Id="rId31" Type="http://schemas.openxmlformats.org/officeDocument/2006/relationships/hyperlink" Target="https://www.zoho.com/us/inventory/kb/general-overview/zom-feature-list.html" TargetMode="External"/><Relationship Id="rId4" Type="http://schemas.openxmlformats.org/officeDocument/2006/relationships/webSettings" Target="webSettings.xml"/><Relationship Id="rId9" Type="http://schemas.openxmlformats.org/officeDocument/2006/relationships/hyperlink" Target="https://github.com/osgomezmo/sistema-inventarios-project" TargetMode="External"/><Relationship Id="rId14" Type="http://schemas.openxmlformats.org/officeDocument/2006/relationships/hyperlink" Target="https://martinfowler.com/bliki/MonolithFirst.html" TargetMode="External"/><Relationship Id="rId22" Type="http://schemas.openxmlformats.org/officeDocument/2006/relationships/hyperlink" Target="https://docs.frappe.io/erpnext/stock-ledger" TargetMode="External"/><Relationship Id="rId27" Type="http://schemas.openxmlformats.org/officeDocument/2006/relationships/hyperlink" Target="https://www.odoo.com/app/inventory-features" TargetMode="External"/><Relationship Id="rId30" Type="http://schemas.openxmlformats.org/officeDocument/2006/relationships/hyperlink" Target="https://www.zoho.com/inventory/api/v1/multi-warehouse/"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8399</Words>
  <Characters>46198</Characters>
  <Application>Microsoft Office Word</Application>
  <DocSecurity>0</DocSecurity>
  <Lines>384</Lines>
  <Paragraphs>108</Paragraphs>
  <ScaleCrop>false</ScaleCrop>
  <Company/>
  <LinksUpToDate>false</LinksUpToDate>
  <CharactersWithSpaces>54489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Andres Hernandez</cp:lastModifiedBy>
  <cp:revision>2</cp:revision>
  <dcterms:created xsi:type="dcterms:W3CDTF">2026-10-20T01:10:00Z</dcterms:created>
  <dcterms:modified xsi:type="dcterms:W3CDTF">2026-10-20T01:10:00Z</dcterms:modified>
</cp:coreProperties>
</file>