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4A5C59"/>
          <w:sz w:val="22"/>
          <w:szCs w:val="22"/>
        </w:rPr>
        <w:t xml:space="preserve">Results Layer</w:t>
      </w:r>
    </w:p>
    <w:p>
      <w:pPr>
        <w:spacing w:after="80"/>
      </w:pPr>
      <w:r>
        <w:rPr>
          <w:rFonts w:ascii="Arial" w:cs="Arial" w:eastAsia="Arial" w:hAnsi="Arial"/>
          <w:b/>
          <w:bCs/>
          <w:color w:val="0E2523"/>
          <w:sz w:val="48"/>
          <w:szCs w:val="48"/>
        </w:rPr>
        <w:t xml:space="preserve">Pilot proposal for the UN in Botswana</w:t>
      </w:r>
    </w:p>
    <w:p>
      <w:pPr>
        <w:spacing w:after="160" w:line="276"/>
      </w:pPr>
      <w:r>
        <w:rPr>
          <w:rFonts w:ascii="Arial" w:cs="Arial" w:eastAsia="Arial" w:hAnsi="Arial"/>
          <w:color w:val="4A5C59"/>
          <w:sz w:val="19"/>
          <w:szCs w:val="19"/>
        </w:rPr>
        <w:t xml:space="preserve">Draft for discussion. Items in </w:t>
      </w:r>
      <w:r>
        <w:rPr>
          <w:rFonts w:ascii="Arial" w:cs="Arial" w:eastAsia="Arial" w:hAnsi="Arial"/>
          <w:color w:val="4A5C59"/>
          <w:sz w:val="19"/>
          <w:szCs w:val="19"/>
          <w:highlight w:val="yellow"/>
          <w:highlightCs w:val="yellow"/>
        </w:rPr>
        <w:t xml:space="preserve">[yellow brackets]</w:t>
      </w:r>
      <w:r>
        <w:rPr>
          <w:rFonts w:ascii="Arial" w:cs="Arial" w:eastAsia="Arial" w:hAnsi="Arial"/>
          <w:color w:val="4A5C59"/>
          <w:sz w:val="19"/>
          <w:szCs w:val="19"/>
        </w:rPr>
        <w:t xml:space="preserve"> are for the panel to fill in. Independent prototype, not an official UN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693A" w:sz="24"/>
              <w:left w:val="single" w:color="B9C8C2" w:sz="4"/>
              <w:bottom w:val="single" w:color="B9C8C2" w:sz="4"/>
              <w:right w:val="single" w:color="B9C8C2" w:sz="4"/>
            </w:tcBorders>
            <w:shd w:fill="F3F5F2" w:color="auto" w:val="clear"/>
            <w:tcMar>
              <w:top w:type="dxa" w:w="140"/>
              <w:left w:type="dxa" w:w="200"/>
              <w:bottom w:type="dxa" w:w="140"/>
              <w:right w:type="dxa" w:w="200"/>
            </w:tcMar>
          </w:tcPr>
          <w:p>
            <w:pPr>
              <w:spacing w:after="60"/>
            </w:pPr>
            <w:r>
              <w:rPr>
                <w:rFonts w:ascii="Arial" w:cs="Arial" w:eastAsia="Arial" w:hAnsi="Arial"/>
                <w:b/>
                <w:bCs/>
                <w:color w:val="0E2523"/>
                <w:sz w:val="24"/>
                <w:szCs w:val="24"/>
              </w:rPr>
              <w:t xml:space="preserve">The decision we are asking for</w:t>
            </w:r>
          </w:p>
          <w:p>
            <w:pPr>
              <w:spacing w:after="0" w:line="276"/>
            </w:pPr>
            <w:r>
              <w:rPr>
                <w:rFonts w:ascii="Arial" w:cs="Arial" w:eastAsia="Arial" w:hAnsi="Arial"/>
                <w:color w:val="10211F"/>
                <w:sz w:val="22"/>
                <w:szCs w:val="22"/>
              </w:rPr>
              <w:t xml:space="preserve">Agree to a 90-day pilot with the Resident Coordinator’s Office (RCO), three agencies and one government partner, with a go, adjust or stop decision at day 90.</w:t>
            </w:r>
          </w:p>
        </w:tc>
      </w:tr>
    </w:tbl>
    <w:p>
      <w:pPr>
        <w:pStyle w:val="Heading2"/>
        <w:keepNext/>
        <w:spacing w:after="100" w:before="280"/>
      </w:pPr>
      <w:r>
        <w:rPr>
          <w:rFonts w:ascii="Arial" w:cs="Arial" w:eastAsia="Arial" w:hAnsi="Arial"/>
          <w:b/>
          <w:bCs/>
          <w:color w:val="0E2523"/>
          <w:sz w:val="28"/>
          <w:szCs w:val="28"/>
        </w:rPr>
        <w:t xml:space="preserve">The problem</w:t>
      </w:r>
    </w:p>
    <w:p>
      <w:pPr>
        <w:spacing w:after="100" w:line="276"/>
      </w:pPr>
      <w:r>
        <w:rPr>
          <w:rFonts w:ascii="Arial" w:cs="Arial" w:eastAsia="Arial" w:hAnsi="Arial"/>
          <w:color w:val="10211F"/>
          <w:sz w:val="21"/>
          <w:szCs w:val="21"/>
        </w:rPr>
        <w:t xml:space="preserve">The 2022–2026 cooperation framework tracks 27 indicators. In the current data, only 3 of the 27 have both a target and a current value, so for the rest nobody can say whether an outcome is on course. Funding, work plan and delivery are held in separate places, so gaps and stalled approvals are found late.</w:t>
      </w:r>
    </w:p>
    <w:p>
      <w:pPr>
        <w:pStyle w:val="Heading2"/>
        <w:keepNext/>
        <w:spacing w:after="100" w:before="280"/>
      </w:pPr>
      <w:r>
        <w:rPr>
          <w:rFonts w:ascii="Arial" w:cs="Arial" w:eastAsia="Arial" w:hAnsi="Arial"/>
          <w:b/>
          <w:bCs/>
          <w:color w:val="0E2523"/>
          <w:sz w:val="28"/>
          <w:szCs w:val="28"/>
        </w:rPr>
        <w:t xml:space="preserve">What the pilot tests</w:t>
      </w:r>
    </w:p>
    <w:p>
      <w:pPr>
        <w:pStyle w:val="ListParagraph"/>
        <w:keepNext w:val="false"/>
        <w:numPr>
          <w:ilvl w:val="0"/>
          <w:numId w:val="2"/>
        </w:numPr>
        <w:spacing w:after="60" w:line="276"/>
      </w:pPr>
      <w:r>
        <w:rPr>
          <w:rFonts w:ascii="Arial" w:cs="Arial" w:eastAsia="Arial" w:hAnsi="Arial"/>
          <w:color w:val="10211F"/>
          <w:sz w:val="21"/>
          <w:szCs w:val="21"/>
        </w:rPr>
        <w:t xml:space="preserve">Do agencies supply current figures when there is one simple place to do it?</w:t>
      </w:r>
    </w:p>
    <w:p>
      <w:pPr>
        <w:pStyle w:val="ListParagraph"/>
        <w:keepNext w:val="false"/>
        <w:numPr>
          <w:ilvl w:val="0"/>
          <w:numId w:val="2"/>
        </w:numPr>
        <w:spacing w:after="60" w:line="276"/>
      </w:pPr>
      <w:r>
        <w:rPr>
          <w:rFonts w:ascii="Arial" w:cs="Arial" w:eastAsia="Arial" w:hAnsi="Arial"/>
          <w:color w:val="10211F"/>
          <w:sz w:val="21"/>
          <w:szCs w:val="21"/>
        </w:rPr>
        <w:t xml:space="preserve">Does the RCO get a view it trusts, faster than assembling it by hand?</w:t>
      </w:r>
    </w:p>
    <w:p>
      <w:pPr>
        <w:pStyle w:val="ListParagraph"/>
        <w:keepNext w:val="false"/>
        <w:numPr>
          <w:ilvl w:val="0"/>
          <w:numId w:val="2"/>
        </w:numPr>
        <w:spacing w:after="60" w:line="276"/>
      </w:pPr>
      <w:r>
        <w:rPr>
          <w:rFonts w:ascii="Arial" w:cs="Arial" w:eastAsia="Arial" w:hAnsi="Arial"/>
          <w:color w:val="10211F"/>
          <w:sz w:val="21"/>
          <w:szCs w:val="21"/>
        </w:rPr>
        <w:t xml:space="preserve">Do partners find the shared picture useful, and is the access model acceptable?</w:t>
      </w:r>
    </w:p>
    <w:p>
      <w:pPr>
        <w:pStyle w:val="ListParagraph"/>
        <w:keepNext w:val="false"/>
        <w:numPr>
          <w:ilvl w:val="0"/>
          <w:numId w:val="2"/>
        </w:numPr>
        <w:spacing w:after="60" w:line="276"/>
      </w:pPr>
      <w:r>
        <w:rPr>
          <w:rFonts w:ascii="Arial" w:cs="Arial" w:eastAsia="Arial" w:hAnsi="Arial"/>
          <w:color w:val="10211F"/>
          <w:sz w:val="21"/>
          <w:szCs w:val="21"/>
        </w:rPr>
        <w:t xml:space="preserve">Can the tool run safely where the UN is willing to host it?</w:t>
      </w:r>
    </w:p>
    <w:p>
      <w:pPr>
        <w:pStyle w:val="Heading2"/>
        <w:keepNext/>
        <w:spacing w:after="100" w:before="280"/>
      </w:pPr>
      <w:r>
        <w:rPr>
          <w:rFonts w:ascii="Arial" w:cs="Arial" w:eastAsia="Arial" w:hAnsi="Arial"/>
          <w:b/>
          <w:bCs/>
          <w:color w:val="0E2523"/>
          <w:sz w:val="28"/>
          <w:szCs w:val="28"/>
        </w:rPr>
        <w:t xml:space="preserve">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In</w:t>
            </w:r>
          </w:p>
        </w:tc>
        <w:tc>
          <w:tcPr>
            <w:tcW w:type="dxa" w:w="4819"/>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Out</w:t>
            </w:r>
          </w:p>
        </w:tc>
      </w:tr>
      <w:tr>
        <w:trPr>
          <w:cantSplit/>
          <w:tblHeader w:val="false"/>
        </w:trPr>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The 27 indicators of the current framework</w:t>
            </w:r>
          </w:p>
        </w:tc>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Beneficiary or case-level data</w:t>
            </w:r>
          </w:p>
        </w:tc>
      </w:tr>
      <w:tr>
        <w:trPr>
          <w:cantSplit/>
          <w:tblHeader w:val="false"/>
        </w:trPr>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Agency updates with source, checks and RCO review</w:t>
            </w:r>
          </w:p>
        </w:tc>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Changes to any official UN system</w:t>
            </w:r>
          </w:p>
        </w:tc>
      </w:tr>
      <w:tr>
        <w:trPr>
          <w:cantSplit/>
          <w:tblHeader w:val="false"/>
        </w:trPr>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Funding, work plan and delivery views using data agencies choose to share</w:t>
            </w:r>
          </w:p>
        </w:tc>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Automatic feeds from other systems</w:t>
            </w:r>
          </w:p>
        </w:tc>
      </w:tr>
      <w:tr>
        <w:trPr>
          <w:cantSplit/>
          <w:tblHeader w:val="false"/>
        </w:trPr>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Four roles, audit log, CSV export, printable summary</w:t>
            </w:r>
          </w:p>
        </w:tc>
        <w:tc>
          <w:tcPr>
            <w:tcW w:type="dxa" w:w="4819"/>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Public access</w:t>
            </w:r>
          </w:p>
        </w:tc>
      </w:tr>
    </w:tbl>
    <w:p>
      <w:pPr>
        <w:pStyle w:val="Heading2"/>
        <w:keepNext/>
        <w:spacing w:after="100" w:before="280"/>
      </w:pPr>
      <w:r>
        <w:rPr>
          <w:rFonts w:ascii="Arial" w:cs="Arial" w:eastAsia="Arial" w:hAnsi="Arial"/>
          <w:b/>
          <w:bCs/>
          <w:color w:val="0E2523"/>
          <w:sz w:val="28"/>
          <w:szCs w:val="28"/>
        </w:rPr>
        <w:t xml:space="preserve">Who is involved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3700"/>
      </w:tblGrid>
      <w:tr>
        <w:trPr>
          <w:cantSplit/>
          <w:tblHeader/>
        </w:trPr>
        <w:tc>
          <w:tcPr>
            <w:tcW w:type="dxa" w:w="23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Role</w:t>
            </w:r>
          </w:p>
        </w:tc>
        <w:tc>
          <w:tcPr>
            <w:tcW w:type="dxa" w:w="3638"/>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Who</w:t>
            </w:r>
          </w:p>
        </w:tc>
        <w:tc>
          <w:tcPr>
            <w:tcW w:type="dxa" w:w="37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Time</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Sponsor</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[RC or deputy]</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30 minutes every two weeks</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Product owner</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[RCO results or data officer]</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About half a day a week</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Agency focal points (3)</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[agencies]</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About an hour a week each</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Government partner (1)</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[ministry focal point]</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An hour every two weeks</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IT and security reviewer</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[UN or partner IT]</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 review in weeks 2–4</w:t>
            </w:r>
          </w:p>
        </w:tc>
      </w:tr>
      <w:tr>
        <w:trPr>
          <w:cantSplit/>
          <w:tblHeader w:val="false"/>
        </w:trPr>
        <w:tc>
          <w:tcPr>
            <w:tcW w:type="dxa" w:w="23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Builder</w:t>
            </w:r>
          </w:p>
        </w:tc>
        <w:tc>
          <w:tcPr>
            <w:tcW w:type="dxa" w:w="3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Project team</w:t>
            </w:r>
          </w:p>
        </w:tc>
        <w:tc>
          <w:tcPr>
            <w:tcW w:type="dxa" w:w="3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Setup, support, fixes, weekly check-in</w:t>
            </w:r>
          </w:p>
        </w:tc>
      </w:tr>
    </w:tbl>
    <w:p>
      <w:pPr>
        <w:pStyle w:val="Heading2"/>
        <w:keepNext/>
        <w:spacing w:after="100" w:before="280"/>
      </w:pPr>
      <w:r>
        <w:rPr>
          <w:rFonts w:ascii="Arial" w:cs="Arial" w:eastAsia="Arial" w:hAnsi="Arial"/>
          <w:b/>
          <w:bCs/>
          <w:color w:val="0E2523"/>
          <w:sz w:val="28"/>
          <w:szCs w:val="28"/>
        </w:rPr>
        <w:t xml:space="preserve">What the UN provides</w:t>
      </w:r>
    </w:p>
    <w:p>
      <w:pPr>
        <w:pStyle w:val="ListParagraph"/>
        <w:keepNext/>
        <w:numPr>
          <w:ilvl w:val="0"/>
          <w:numId w:val="2"/>
        </w:numPr>
        <w:spacing w:after="60" w:line="276"/>
      </w:pPr>
      <w:r>
        <w:rPr>
          <w:rFonts w:ascii="Arial" w:cs="Arial" w:eastAsia="Arial" w:hAnsi="Arial"/>
          <w:color w:val="10211F"/>
          <w:sz w:val="21"/>
          <w:szCs w:val="21"/>
        </w:rPr>
        <w:t xml:space="preserve">A host, behind HTTPS, that the UN approves. A small server or container is enough.</w:t>
      </w:r>
    </w:p>
    <w:p>
      <w:pPr>
        <w:pStyle w:val="ListParagraph"/>
        <w:keepNext/>
        <w:numPr>
          <w:ilvl w:val="0"/>
          <w:numId w:val="2"/>
        </w:numPr>
        <w:spacing w:after="60" w:line="276"/>
      </w:pPr>
      <w:r>
        <w:rPr>
          <w:rFonts w:ascii="Arial" w:cs="Arial" w:eastAsia="Arial" w:hAnsi="Arial"/>
          <w:color w:val="10211F"/>
          <w:sz w:val="21"/>
          <w:szCs w:val="21"/>
        </w:rPr>
        <w:t xml:space="preserve">About ten accounts, and a named owner for each agency’s figures.</w:t>
      </w:r>
    </w:p>
    <w:p>
      <w:pPr>
        <w:pStyle w:val="ListParagraph"/>
        <w:keepNext/>
        <w:numPr>
          <w:ilvl w:val="0"/>
          <w:numId w:val="2"/>
        </w:numPr>
        <w:spacing w:after="60" w:line="276"/>
      </w:pPr>
      <w:r>
        <w:rPr>
          <w:rFonts w:ascii="Arial" w:cs="Arial" w:eastAsia="Arial" w:hAnsi="Arial"/>
          <w:color w:val="10211F"/>
          <w:sz w:val="21"/>
          <w:szCs w:val="21"/>
        </w:rPr>
        <w:t xml:space="preserve">A security and data protection review before real figures go in.</w:t>
      </w:r>
    </w:p>
    <w:p>
      <w:pPr>
        <w:pStyle w:val="ListParagraph"/>
        <w:keepNext w:val="false"/>
        <w:numPr>
          <w:ilvl w:val="0"/>
          <w:numId w:val="2"/>
        </w:numPr>
        <w:spacing w:after="60" w:line="276"/>
      </w:pPr>
      <w:r>
        <w:rPr>
          <w:rFonts w:ascii="Arial" w:cs="Arial" w:eastAsia="Arial" w:hAnsi="Arial"/>
          <w:color w:val="10211F"/>
          <w:sz w:val="21"/>
          <w:szCs w:val="21"/>
        </w:rPr>
        <w:t xml:space="preserve">Agreement on which sample data to replace first.</w:t>
      </w:r>
    </w:p>
    <w:p>
      <w:pPr>
        <w:pStyle w:val="Heading2"/>
        <w:keepNext/>
        <w:spacing w:after="100" w:before="280"/>
      </w:pPr>
      <w:r>
        <w:rPr>
          <w:rFonts w:ascii="Arial" w:cs="Arial" w:eastAsia="Arial" w:hAnsi="Arial"/>
          <w:b/>
          <w:bCs/>
          <w:color w:val="0E2523"/>
          <w:sz w:val="28"/>
          <w:szCs w:val="28"/>
        </w:rPr>
        <w:t xml:space="preserve">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238"/>
        <w:gridCol w:w="2700"/>
      </w:tblGrid>
      <w:tr>
        <w:trPr>
          <w:cantSplit/>
          <w:tblHeader/>
        </w:trPr>
        <w:tc>
          <w:tcPr>
            <w:tcW w:type="dxa" w:w="17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Weeks</w:t>
            </w:r>
          </w:p>
        </w:tc>
        <w:tc>
          <w:tcPr>
            <w:tcW w:type="dxa" w:w="5238"/>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What happens</w:t>
            </w:r>
          </w:p>
        </w:tc>
        <w:tc>
          <w:tcPr>
            <w:tcW w:type="dxa" w:w="27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Output</w:t>
            </w:r>
          </w:p>
        </w:tc>
      </w:tr>
      <w:tr>
        <w:trPr>
          <w:cantSplit/>
          <w:tblHeader w:val="false"/>
        </w:trPr>
        <w:tc>
          <w:tcPr>
            <w:tcW w:type="dxa" w:w="1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0–2</w:t>
            </w:r>
          </w:p>
        </w:tc>
        <w:tc>
          <w:tcPr>
            <w:tcW w:type="dxa" w:w="52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Choose host. Create accounts. Load the 27 indicators and agree the review rules. Security and data protection review starts.</w:t>
            </w:r>
          </w:p>
        </w:tc>
        <w:tc>
          <w:tcPr>
            <w:tcW w:type="dxa" w:w="2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Running, reviewed instance</w:t>
            </w:r>
          </w:p>
        </w:tc>
      </w:tr>
      <w:tr>
        <w:trPr>
          <w:cantSplit/>
          <w:tblHeader w:val="false"/>
        </w:trPr>
        <w:tc>
          <w:tcPr>
            <w:tcW w:type="dxa" w:w="1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3–6</w:t>
            </w:r>
          </w:p>
        </w:tc>
        <w:tc>
          <w:tcPr>
            <w:tcW w:type="dxa" w:w="52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Three agencies submit current figures. RCO reviews weekly. Partners get read access.</w:t>
            </w:r>
          </w:p>
        </w:tc>
        <w:tc>
          <w:tcPr>
            <w:tcW w:type="dxa" w:w="2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First round of accepted figures</w:t>
            </w:r>
          </w:p>
        </w:tc>
      </w:tr>
      <w:tr>
        <w:trPr>
          <w:cantSplit/>
          <w:tblHeader w:val="false"/>
        </w:trPr>
        <w:tc>
          <w:tcPr>
            <w:tcW w:type="dxa" w:w="1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7–10</w:t>
            </w:r>
          </w:p>
        </w:tc>
        <w:tc>
          <w:tcPr>
            <w:tcW w:type="dxa" w:w="52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Replace sample funding and delivery with agency-shared data. Test the printable summary on a real report.</w:t>
            </w:r>
          </w:p>
        </w:tc>
        <w:tc>
          <w:tcPr>
            <w:tcW w:type="dxa" w:w="2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Second round, a real summary</w:t>
            </w:r>
          </w:p>
        </w:tc>
      </w:tr>
      <w:tr>
        <w:trPr>
          <w:cantSplit/>
          <w:tblHeader w:val="false"/>
        </w:trPr>
        <w:tc>
          <w:tcPr>
            <w:tcW w:type="dxa" w:w="1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11–12</w:t>
            </w:r>
          </w:p>
        </w:tc>
        <w:tc>
          <w:tcPr>
            <w:tcW w:type="dxa" w:w="52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Measure against the success measures. Gather feedback. Decide.</w:t>
            </w:r>
          </w:p>
        </w:tc>
        <w:tc>
          <w:tcPr>
            <w:tcW w:type="dxa" w:w="27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Pilot report and recommendation</w:t>
            </w:r>
          </w:p>
        </w:tc>
      </w:tr>
    </w:tbl>
    <w:p>
      <w:pPr>
        <w:spacing w:after="0" w:line="276"/>
      </w:pPr>
      <w:r>
        <w:rPr>
          <w:rFonts w:ascii="Arial" w:cs="Arial" w:eastAsia="Arial" w:hAnsi="Arial"/>
          <w:color w:val="4A5C59"/>
          <w:sz w:val="19"/>
          <w:szCs w:val="19"/>
        </w:rPr>
        <w:t xml:space="preserve">Checkpoint at day 45: stop or adjust if the effort is higher than today’s reporting route.</w:t>
      </w:r>
    </w:p>
    <w:p>
      <w:pPr>
        <w:pStyle w:val="Heading2"/>
        <w:keepNext/>
        <w:spacing w:after="100" w:before="280"/>
      </w:pPr>
      <w:r>
        <w:rPr>
          <w:rFonts w:ascii="Arial" w:cs="Arial" w:eastAsia="Arial" w:hAnsi="Arial"/>
          <w:b/>
          <w:bCs/>
          <w:color w:val="0E2523"/>
          <w:sz w:val="28"/>
          <w:szCs w:val="28"/>
        </w:rPr>
        <w:t xml:space="preserve">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200"/>
        <w:gridCol w:w="2800"/>
      </w:tblGrid>
      <w:tr>
        <w:trPr>
          <w:cantSplit/>
          <w:tblHeader/>
        </w:trPr>
        <w:tc>
          <w:tcPr>
            <w:tcW w:type="dxa" w:w="4638"/>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Measure</w:t>
            </w:r>
          </w:p>
        </w:tc>
        <w:tc>
          <w:tcPr>
            <w:tcW w:type="dxa" w:w="22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Starting point</w:t>
            </w:r>
          </w:p>
        </w:tc>
        <w:tc>
          <w:tcPr>
            <w:tcW w:type="dxa" w:w="28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Target at day 90</w:t>
            </w:r>
          </w:p>
        </w:tc>
      </w:tr>
      <w:tr>
        <w:trPr>
          <w:cantSplit/>
          <w:tblHeader w:val="false"/>
        </w:trPr>
        <w:tc>
          <w:tcPr>
            <w:tcW w:type="dxa" w:w="4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Indicators with a target and current data</w:t>
            </w:r>
          </w:p>
        </w:tc>
        <w:tc>
          <w:tcPr>
            <w:tcW w:type="dxa" w:w="22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3 of 27</w:t>
            </w:r>
          </w:p>
        </w:tc>
        <w:tc>
          <w:tcPr>
            <w:tcW w:type="dxa" w:w="28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[to agree]</w:t>
            </w:r>
          </w:p>
        </w:tc>
      </w:tr>
      <w:tr>
        <w:trPr>
          <w:cantSplit/>
          <w:tblHeader w:val="false"/>
        </w:trPr>
        <w:tc>
          <w:tcPr>
            <w:tcW w:type="dxa" w:w="4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Agency updates accepted within 5 working days</w:t>
            </w:r>
          </w:p>
        </w:tc>
        <w:tc>
          <w:tcPr>
            <w:tcW w:type="dxa" w:w="22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Not measured</w:t>
            </w:r>
          </w:p>
        </w:tc>
        <w:tc>
          <w:tcPr>
            <w:tcW w:type="dxa" w:w="28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[to agree]</w:t>
            </w:r>
          </w:p>
        </w:tc>
      </w:tr>
      <w:tr>
        <w:trPr>
          <w:cantSplit/>
          <w:tblHeader w:val="false"/>
        </w:trPr>
        <w:tc>
          <w:tcPr>
            <w:tcW w:type="dxa" w:w="4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Time for the RCO to produce a results summary</w:t>
            </w:r>
          </w:p>
        </w:tc>
        <w:tc>
          <w:tcPr>
            <w:tcW w:type="dxa" w:w="22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[measure in week 0]</w:t>
            </w:r>
          </w:p>
        </w:tc>
        <w:tc>
          <w:tcPr>
            <w:tcW w:type="dxa" w:w="28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[to agree]</w:t>
            </w:r>
          </w:p>
        </w:tc>
      </w:tr>
      <w:tr>
        <w:trPr>
          <w:cantSplit/>
          <w:tblHeader w:val="false"/>
        </w:trPr>
        <w:tc>
          <w:tcPr>
            <w:tcW w:type="dxa" w:w="4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Pilot users who say it is useful (short survey)</w:t>
            </w:r>
          </w:p>
        </w:tc>
        <w:tc>
          <w:tcPr>
            <w:tcW w:type="dxa" w:w="22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Not measured</w:t>
            </w:r>
          </w:p>
        </w:tc>
        <w:tc>
          <w:tcPr>
            <w:tcW w:type="dxa" w:w="28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highlight w:val="yellow"/>
                <w:highlightCs w:val="yellow"/>
              </w:rPr>
              <w:t xml:space="preserve">[to agree]</w:t>
            </w:r>
          </w:p>
        </w:tc>
      </w:tr>
      <w:tr>
        <w:trPr>
          <w:cantSplit/>
          <w:tblHeader w:val="false"/>
        </w:trPr>
        <w:tc>
          <w:tcPr>
            <w:tcW w:type="dxa" w:w="46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High-severity security findings left open</w:t>
            </w:r>
          </w:p>
        </w:tc>
        <w:tc>
          <w:tcPr>
            <w:tcW w:type="dxa" w:w="22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Not reviewed</w:t>
            </w:r>
          </w:p>
        </w:tc>
        <w:tc>
          <w:tcPr>
            <w:tcW w:type="dxa" w:w="28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0</w:t>
            </w:r>
          </w:p>
        </w:tc>
      </w:tr>
    </w:tbl>
    <w:p>
      <w:pPr>
        <w:pStyle w:val="Heading2"/>
        <w:keepNext/>
        <w:spacing w:after="100" w:before="280"/>
      </w:pPr>
      <w:r>
        <w:rPr>
          <w:rFonts w:ascii="Arial" w:cs="Arial" w:eastAsia="Arial" w:hAnsi="Arial"/>
          <w:b/>
          <w:bCs/>
          <w:color w:val="0E2523"/>
          <w:sz w:val="28"/>
          <w:szCs w:val="28"/>
        </w:rPr>
        <w:t xml:space="preserve">Risks and how we handle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Risk</w:t>
            </w:r>
          </w:p>
        </w:tc>
        <w:tc>
          <w:tcPr>
            <w:tcW w:type="dxa" w:w="6538"/>
            <w:tcBorders>
              <w:top w:val="single" w:color="B9C8C2" w:sz="4"/>
              <w:left w:val="single" w:color="B9C8C2" w:sz="4"/>
              <w:bottom w:val="single" w:color="B9C8C2" w:sz="4"/>
              <w:right w:val="single" w:color="B9C8C2" w:sz="4"/>
            </w:tcBorders>
            <w:shd w:fill="DDE6E1" w:color="auto" w:val="clear"/>
            <w:tcMar>
              <w:top w:type="dxa" w:w="70"/>
              <w:left w:type="dxa" w:w="110"/>
              <w:bottom w:type="dxa" w:w="70"/>
              <w:right w:type="dxa" w:w="110"/>
            </w:tcMar>
          </w:tcPr>
          <w:p>
            <w:pPr>
              <w:spacing w:after="0" w:line="252"/>
            </w:pPr>
            <w:r>
              <w:rPr>
                <w:rFonts w:ascii="Arial" w:cs="Arial" w:eastAsia="Arial" w:hAnsi="Arial"/>
                <w:b/>
                <w:bCs/>
                <w:color w:val="10211F"/>
                <w:sz w:val="19"/>
                <w:szCs w:val="19"/>
              </w:rPr>
              <w:t xml:space="preserve">Handling</w:t>
            </w:r>
          </w:p>
        </w:tc>
      </w:tr>
      <w:tr>
        <w:trPr>
          <w:cantSplit/>
          <w:tblHeader w:val="false"/>
        </w:trPr>
        <w:tc>
          <w:tcPr>
            <w:tcW w:type="dxa" w:w="31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Agencies see it as more reporting</w:t>
            </w:r>
          </w:p>
        </w:tc>
        <w:tc>
          <w:tcPr>
            <w:tcW w:type="dxa" w:w="65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Measure effort. Allow CSV upload. Stop or adjust at day 45 if effort is higher than today’s route.</w:t>
            </w:r>
          </w:p>
        </w:tc>
      </w:tr>
      <w:tr>
        <w:trPr>
          <w:cantSplit/>
          <w:tblHeader w:val="false"/>
        </w:trPr>
        <w:tc>
          <w:tcPr>
            <w:tcW w:type="dxa" w:w="31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Data quality</w:t>
            </w:r>
          </w:p>
        </w:tc>
        <w:tc>
          <w:tcPr>
            <w:tcW w:type="dxa" w:w="65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Range and unit checks, a source on every figure, RCO review.</w:t>
            </w:r>
          </w:p>
        </w:tc>
      </w:tr>
      <w:tr>
        <w:trPr>
          <w:cantSplit/>
          <w:tblHeader w:val="false"/>
        </w:trPr>
        <w:tc>
          <w:tcPr>
            <w:tcW w:type="dxa" w:w="31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Security or data protection concern</w:t>
            </w:r>
          </w:p>
        </w:tc>
        <w:tc>
          <w:tcPr>
            <w:tcW w:type="dxa" w:w="65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Review before real data. No personal beneficiary data. Hosting only where approved. Audit log.</w:t>
            </w:r>
          </w:p>
        </w:tc>
      </w:tr>
      <w:tr>
        <w:trPr>
          <w:cantSplit/>
          <w:tblHeader w:val="false"/>
        </w:trPr>
        <w:tc>
          <w:tcPr>
            <w:tcW w:type="dxa" w:w="31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Single builder</w:t>
            </w:r>
          </w:p>
        </w:tc>
        <w:tc>
          <w:tcPr>
            <w:tcW w:type="dxa" w:w="65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Open code, no dependencies, one-command build, handover session in week 12.</w:t>
            </w:r>
          </w:p>
        </w:tc>
      </w:tr>
      <w:tr>
        <w:trPr>
          <w:cantSplit/>
          <w:tblHeader w:val="false"/>
        </w:trPr>
        <w:tc>
          <w:tcPr>
            <w:tcW w:type="dxa" w:w="3100"/>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Pilot stalls</w:t>
            </w:r>
          </w:p>
        </w:tc>
        <w:tc>
          <w:tcPr>
            <w:tcW w:type="dxa" w:w="6538"/>
            <w:tcBorders>
              <w:top w:val="single" w:color="B9C8C2" w:sz="4"/>
              <w:left w:val="single" w:color="B9C8C2" w:sz="4"/>
              <w:bottom w:val="single" w:color="B9C8C2" w:sz="4"/>
              <w:right w:val="single" w:color="B9C8C2" w:sz="4"/>
            </w:tcBorders>
            <w:tcMar>
              <w:top w:type="dxa" w:w="70"/>
              <w:left w:type="dxa" w:w="110"/>
              <w:bottom w:type="dxa" w:w="70"/>
              <w:right w:type="dxa" w:w="110"/>
            </w:tcMar>
          </w:tcPr>
          <w:p>
            <w:pPr>
              <w:spacing w:after="0" w:line="252"/>
            </w:pPr>
            <w:r>
              <w:rPr>
                <w:rFonts w:ascii="Arial" w:cs="Arial" w:eastAsia="Arial" w:hAnsi="Arial"/>
                <w:b w:val="false"/>
                <w:bCs w:val="false"/>
                <w:color w:val="10211F"/>
                <w:sz w:val="19"/>
                <w:szCs w:val="19"/>
              </w:rPr>
              <w:t xml:space="preserve">Fortnightly sponsor check-in. Day-45 checkpoint.</w:t>
            </w:r>
          </w:p>
        </w:tc>
      </w:tr>
    </w:tbl>
    <w:p>
      <w:pPr>
        <w:pStyle w:val="Heading2"/>
        <w:keepNext/>
        <w:spacing w:after="100" w:before="280"/>
      </w:pPr>
      <w:r>
        <w:rPr>
          <w:rFonts w:ascii="Arial" w:cs="Arial" w:eastAsia="Arial" w:hAnsi="Arial"/>
          <w:b/>
          <w:bCs/>
          <w:color w:val="0E2523"/>
          <w:sz w:val="28"/>
          <w:szCs w:val="28"/>
        </w:rPr>
        <w:t xml:space="preserve">Day-90 outcomes</w:t>
      </w:r>
    </w:p>
    <w:p>
      <w:pPr>
        <w:pStyle w:val="ListParagraph"/>
        <w:keepNext w:val="false"/>
        <w:numPr>
          <w:ilvl w:val="0"/>
          <w:numId w:val="2"/>
        </w:numPr>
        <w:spacing w:after="60" w:line="276"/>
      </w:pPr>
      <w:r>
        <w:rPr>
          <w:rFonts w:ascii="Arial" w:cs="Arial" w:eastAsia="Arial" w:hAnsi="Arial"/>
          <w:color w:val="10211F"/>
          <w:sz w:val="21"/>
          <w:szCs w:val="21"/>
        </w:rPr>
        <w:t xml:space="preserve">Go: adopt, with the items needed for production: single sign-on, a database, backups, an independent security review and a support arrangement.</w:t>
      </w:r>
    </w:p>
    <w:p>
      <w:pPr>
        <w:pStyle w:val="ListParagraph"/>
        <w:keepNext w:val="false"/>
        <w:numPr>
          <w:ilvl w:val="0"/>
          <w:numId w:val="2"/>
        </w:numPr>
        <w:spacing w:after="60" w:line="276"/>
      </w:pPr>
      <w:r>
        <w:rPr>
          <w:rFonts w:ascii="Arial" w:cs="Arial" w:eastAsia="Arial" w:hAnsi="Arial"/>
          <w:color w:val="10211F"/>
          <w:sz w:val="21"/>
          <w:szCs w:val="21"/>
        </w:rPr>
        <w:t xml:space="preserve">Adjust: extend by 30–60 days with agreed changes.</w:t>
      </w:r>
    </w:p>
    <w:p>
      <w:pPr>
        <w:pStyle w:val="ListParagraph"/>
        <w:keepNext w:val="false"/>
        <w:numPr>
          <w:ilvl w:val="0"/>
          <w:numId w:val="2"/>
        </w:numPr>
        <w:spacing w:after="60" w:line="276"/>
      </w:pPr>
      <w:r>
        <w:rPr>
          <w:rFonts w:ascii="Arial" w:cs="Arial" w:eastAsia="Arial" w:hAnsi="Arial"/>
          <w:color w:val="10211F"/>
          <w:sz w:val="21"/>
          <w:szCs w:val="21"/>
        </w:rPr>
        <w:t xml:space="preserve">Stop: export all data as CSV, close accounts and delete the instance.</w:t>
      </w:r>
    </w:p>
    <w:p>
      <w:pPr>
        <w:pStyle w:val="Heading2"/>
        <w:keepNext/>
        <w:spacing w:after="100" w:before="280"/>
      </w:pPr>
      <w:r>
        <w:rPr>
          <w:rFonts w:ascii="Arial" w:cs="Arial" w:eastAsia="Arial" w:hAnsi="Arial"/>
          <w:b/>
          <w:bCs/>
          <w:color w:val="0E2523"/>
          <w:sz w:val="28"/>
          <w:szCs w:val="28"/>
        </w:rPr>
        <w:t xml:space="preserve">Where it stands today</w:t>
      </w:r>
    </w:p>
    <w:p>
      <w:pPr>
        <w:spacing w:after="100" w:line="276"/>
      </w:pPr>
      <w:r>
        <w:rPr>
          <w:rFonts w:ascii="Arial" w:cs="Arial" w:eastAsia="Arial" w:hAnsi="Arial"/>
          <w:color w:val="10211F"/>
          <w:sz w:val="21"/>
          <w:szCs w:val="21"/>
        </w:rPr>
        <w:t xml:space="preserve">Working prototype with sign-in, four roles, agency updates with RCO review, an audit log, CSV export and a printable summary. The 27 indicators are real and sourced to published UN reports. Funding, work plan and delivery are samples and are labelled on screen. It has had no independent security review or accessibility audit; both are part of the pilot.</w:t>
      </w:r>
    </w:p>
    <w:p>
      <w:pPr>
        <w:pStyle w:val="Heading2"/>
        <w:keepNext/>
        <w:spacing w:after="100" w:before="280"/>
      </w:pPr>
      <w:r>
        <w:rPr>
          <w:rFonts w:ascii="Arial" w:cs="Arial" w:eastAsia="Arial" w:hAnsi="Arial"/>
          <w:b/>
          <w:bCs/>
          <w:color w:val="0E2523"/>
          <w:sz w:val="28"/>
          <w:szCs w:val="28"/>
        </w:rPr>
        <w:t xml:space="preserve">No lock-in</w:t>
      </w:r>
    </w:p>
    <w:p>
      <w:pPr>
        <w:spacing w:after="120" w:line="276"/>
      </w:pPr>
      <w:r>
        <w:rPr>
          <w:rFonts w:ascii="Arial" w:cs="Arial" w:eastAsia="Arial" w:hAnsi="Arial"/>
          <w:color w:val="10211F"/>
          <w:sz w:val="21"/>
          <w:szCs w:val="21"/>
        </w:rPr>
        <w:t xml:space="preserve">The code is open and has no third-party dependencies. All data exports as CSV. Any UN or partner developer can run it.</w:t>
      </w:r>
    </w:p>
    <w:p>
      <w:pPr>
        <w:spacing w:after="100" w:line="276"/>
      </w:pPr>
      <w:r>
        <w:rPr>
          <w:rFonts w:ascii="Arial" w:cs="Arial" w:eastAsia="Arial" w:hAnsi="Arial"/>
          <w:color w:val="10211F"/>
          <w:sz w:val="21"/>
          <w:szCs w:val="21"/>
        </w:rPr>
        <w:t xml:space="preserve">Contact: </w:t>
      </w:r>
      <w:r>
        <w:rPr>
          <w:rFonts w:ascii="Arial" w:cs="Arial" w:eastAsia="Arial" w:hAnsi="Arial"/>
          <w:color w:val="10211F"/>
          <w:sz w:val="21"/>
          <w:szCs w:val="21"/>
          <w:highlight w:val="yellow"/>
          <w:highlightCs w:val="yellow"/>
        </w:rPr>
        <w:t xml:space="preserve">[name, role, email, phone]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8C2" w:sz="4" w:space="6"/>
      </w:pBdr>
      <w:tabs>
        <w:tab w:val="right" w:pos="9638"/>
      </w:tabs>
      <w:jc w:val="left"/>
    </w:pPr>
    <w:r>
      <w:rPr>
        <w:rFonts w:ascii="Arial" w:cs="Arial" w:eastAsia="Arial" w:hAnsi="Arial"/>
        <w:color w:val="4A5C59"/>
        <w:sz w:val="17"/>
        <w:szCs w:val="17"/>
      </w:rPr>
      <w:t xml:space="preserve">Results Layer · pilot proposal · draft for discussion</w:t>
    </w:r>
    <w:r>
      <w:rPr>
        <w:rFonts w:ascii="Arial" w:cs="Arial" w:eastAsia="Arial" w:hAnsi="Arial"/>
        <w:color w:val="4A5C59"/>
        <w:sz w:val="17"/>
        <w:szCs w:val="17"/>
      </w:rPr>
      <w:t xml:space="preserve">	Page </w:t>
    </w:r>
    <w:r>
      <w:rPr>
        <w:rFonts w:ascii="Arial" w:cs="Arial" w:eastAsia="Arial" w:hAnsi="Arial"/>
        <w:color w:val="4A5C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Layer: pilot proposal for the UN in Botswana</dc:title>
  <dc:creator>Results Layer</dc:creator>
  <cp:lastModifiedBy>Un-named</cp:lastModifiedBy>
  <cp:revision>1</cp:revision>
  <dcterms:created xsi:type="dcterms:W3CDTF">2026-10-15T05:45:43.589Z</dcterms:created>
  <dcterms:modified xsi:type="dcterms:W3CDTF">2026-10-15T05:45:43.589Z</dcterms:modified>
</cp:coreProperties>
</file>

<file path=docProps/custom.xml><?xml version="1.0" encoding="utf-8"?>
<Properties xmlns="http://schemas.openxmlformats.org/officeDocument/2006/custom-properties" xmlns:vt="http://schemas.openxmlformats.org/officeDocument/2006/docPropsVTypes"/>
</file>