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de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programmer les pages web et nous commencé à produire les script sql pour la base de donnée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à rendre le 22/12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du 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11/01/24</w:t>
        <w:tab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8buxqfD7ufqKWHTeeOt7MMySrg==">CgMxLjAyDmguZWVwcXdlNXZsMjRxOAByITExTHVIdzgzUmxvSVRqcEI1dXNLRDhLTUJPaHV2MndLSw==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