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 n°2 Loic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Dans cette séance, on à commencé à faire les différentes étapes du gestion de projet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Cahier des charges; (question par moi-même et Tharindu)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Gantt; (Par Patrick)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RACI; (Par Julien)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PERT; (Par Nassim)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Lors de l’introduction, Mme Zarg Ayouna, explique le déroulement ainsi que les objectifs de cette séance.  On à également d'autres choses à ajouter, comme le User Story ou encore la maquette.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Pour le User Story, on va utiliser le modèle suivant :  en tant que … je devrais … afin de … , qu’on avait déjà utilisé en cours d’analyse.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Toujours mettre à jour la Feuille de temps pour savoir ce qu’on a fait sur le projet durant une séance.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Définition de chemin critique dans un projet: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C’est un chemin dans lequel si toutes les tâches de ce chemin ne sont pas réalisées à temps, cela peut entraîner un retard et casser le projet.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