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17/01/24. 9h00&gt;12h30 /13h30 &gt;15h30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Avancement sur le site, nous avons terminé le front des pages et résolution de bug sur la liaison entre le back et le front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présentation de notre site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P5AX4cjcOttt5hAp5sDFMkoPg==">CgMxLjA4AHIhMTk2ajZKYUpPMU0tZDhPR1RZeEQ2ZjBWU3EzbTkwY3lO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