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08/12/23. 9h00 -13h00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 + préparation oral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de Jeudi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à notre orale de la veille nous nous avons commencé à préparer l’oral sur le cahier des charges en prenant en compte les conseilles de Mme.Ezelis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maquettes du sites , nous avons fait les pages du sites et les fonctionnalités pour le gestionnaire et le commercial.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en cours</w:t>
            </w:r>
          </w:p>
        </w:tc>
      </w:tr>
    </w:tbl>
    <w:p w:rsidR="00000000" w:rsidDel="00000000" w:rsidP="00000000" w:rsidRDefault="00000000" w:rsidRPr="00000000" w14:paraId="00000030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de l’oral sur le cahier des charges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Tharindu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avancé sur la maquette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7VFXdZTnO7qjbSU8Wg8z6NKQpQ==">CgMxLjA4AHIhMTQ2bEI0MERrUjd0bG5sU0VqRlk5cXBTUlFRdzNZSllr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