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 Sarcelles 14H15- 20H00 5H45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Possibilité d’ajouter plusieurs compétences pour un même formateur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Envoi de mail Réussi avec le protocole SMTP corrigé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n’avons pas pu tout terminer malheureusement.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Serveur Jupyter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Avoir hébergé le serveur sur Jupyter en installant Putty, en envoyant les fichiers via SSH à l’aide de winscp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>
          <w:color w:val="ff0000"/>
        </w:rPr>
      </w:pPr>
      <w:bookmarkStart w:colFirst="0" w:colLast="0" w:name="_heading=h.9pd1gpvzaq2u" w:id="0"/>
      <w:bookmarkEnd w:id="0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10399.0" w:type="dxa"/>
            <w:jc w:val="left"/>
            <w:tbl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  <w:insideH w:color="4472c4" w:space="0" w:sz="4" w:val="single"/>
              <w:insideV w:color="4472c4" w:space="0" w:sz="4" w:val="single"/>
            </w:tblBorders>
            <w:tblLayout w:type="fixed"/>
            <w:tblLook w:val="0400"/>
          </w:tblPr>
          <w:tblGrid>
            <w:gridCol w:w="1263"/>
            <w:gridCol w:w="9136"/>
            <w:tblGridChange w:id="0">
              <w:tblGrid>
                <w:gridCol w:w="1263"/>
                <w:gridCol w:w="9136"/>
              </w:tblGrid>
            </w:tblGridChange>
          </w:tblGrid>
          <w:tr>
            <w:trPr>
              <w:cantSplit w:val="0"/>
              <w:trHeight w:val="419" w:hRule="atLeast"/>
              <w:tblHeader w:val="0"/>
            </w:trPr>
            <w:tc>
              <w:tcPr>
                <w:tcBorders>
                  <w:bottom w:color="4472c4" w:space="0" w:sz="4" w:val="single"/>
                  <w:right w:color="000000" w:space="0" w:sz="0" w:val="nil"/>
                </w:tcBorders>
                <w:shd w:fill="acb9ca" w:val="clear"/>
              </w:tcPr>
              <w:p w:rsidR="00000000" w:rsidDel="00000000" w:rsidP="00000000" w:rsidRDefault="00000000" w:rsidRPr="00000000" w14:paraId="0000002B">
                <w:pPr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Sujet 3: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0" w:val="nil"/>
                  <w:bottom w:color="4472c4" w:space="0" w:sz="4" w:val="single"/>
                </w:tcBorders>
                <w:shd w:fill="acb9ca" w:val="clear"/>
              </w:tcPr>
              <w:p w:rsidR="00000000" w:rsidDel="00000000" w:rsidP="00000000" w:rsidRDefault="00000000" w:rsidRPr="00000000" w14:paraId="0000002C">
                <w:pPr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GIT</w:t>
                </w:r>
              </w:p>
            </w:tc>
          </w:tr>
          <w:tr>
            <w:trPr>
              <w:cantSplit w:val="0"/>
              <w:trHeight w:val="324" w:hRule="atLeast"/>
              <w:tblHeader w:val="0"/>
            </w:trPr>
            <w:tc>
              <w:tcPr>
                <w:tcBorders>
                  <w:bottom w:color="4472c4" w:space="0" w:sz="4" w:val="single"/>
                  <w:right w:color="4472c4" w:space="0" w:sz="4" w:val="single"/>
                </w:tcBorders>
                <w:shd w:fill="acb9ca" w:val="clear"/>
                <w:vAlign w:val="center"/>
              </w:tcPr>
              <w:p w:rsidR="00000000" w:rsidDel="00000000" w:rsidP="00000000" w:rsidRDefault="00000000" w:rsidRPr="00000000" w14:paraId="0000002D">
                <w:pPr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Discussion, remarques, …</w:t>
                </w:r>
              </w:p>
            </w:tc>
            <w:tc>
              <w:tcPr>
                <w:tcBorders>
                  <w:left w:color="4472c4" w:space="0" w:sz="4" w:val="single"/>
                  <w:bottom w:color="4472c4" w:space="0" w:sz="4" w:val="single"/>
                </w:tcBorders>
              </w:tcPr>
              <w:p w:rsidR="00000000" w:rsidDel="00000000" w:rsidP="00000000" w:rsidRDefault="00000000" w:rsidRPr="00000000" w14:paraId="0000002E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left"/>
                  <w:rPr>
                    <w:rFonts w:ascii="Open Sans" w:cs="Open Sans" w:eastAsia="Open Sans" w:hAnsi="Open Sans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b w:val="1"/>
                    <w:sz w:val="22"/>
                    <w:szCs w:val="22"/>
                    <w:rtl w:val="0"/>
                  </w:rPr>
                  <w:t xml:space="preserve">J’ai recréé une deuxième version de la documentation à l’aide de Doxygen sur toutes les actions/fonctions qu’on a réalisées.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0"/>
                    <w:numId w:val="1"/>
                  </w:numPr>
                  <w:spacing w:line="360" w:lineRule="auto"/>
                  <w:ind w:left="720" w:hanging="360"/>
                  <w:jc w:val="left"/>
                  <w:rPr>
                    <w:rFonts w:ascii="Open Sans" w:cs="Open Sans" w:eastAsia="Open Sans" w:hAnsi="Open Sans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Open Sans" w:cs="Open Sans" w:eastAsia="Open Sans" w:hAnsi="Open Sans"/>
                    <w:b w:val="1"/>
                    <w:sz w:val="22"/>
                    <w:szCs w:val="22"/>
                    <w:rtl w:val="0"/>
                  </w:rPr>
                  <w:t xml:space="preserve">J’ai modifié le Readme pour mettre le lien du site </w:t>
                </w:r>
              </w:p>
            </w:tc>
          </w:tr>
          <w:tr>
            <w:trPr>
              <w:cantSplit w:val="0"/>
              <w:trHeight w:val="305" w:hRule="atLeast"/>
              <w:tblHeader w:val="0"/>
            </w:trPr>
            <w:tc>
              <w:tcPr>
                <w:tcBorders>
                  <w:right w:color="4472c4" w:space="0" w:sz="4" w:val="single"/>
                </w:tcBorders>
                <w:shd w:fill="acb9ca" w:val="clear"/>
                <w:vAlign w:val="center"/>
              </w:tcPr>
              <w:p w:rsidR="00000000" w:rsidDel="00000000" w:rsidP="00000000" w:rsidRDefault="00000000" w:rsidRPr="00000000" w14:paraId="00000030">
                <w:pPr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Conclusion</w:t>
                </w:r>
              </w:p>
            </w:tc>
            <w:tc>
              <w:tcPr>
                <w:tcBorders>
                  <w:left w:color="4472c4" w:space="0" w:sz="4" w:val="single"/>
                </w:tcBorders>
              </w:tcPr>
              <w:p w:rsidR="00000000" w:rsidDel="00000000" w:rsidP="00000000" w:rsidRDefault="00000000" w:rsidRPr="00000000" w14:paraId="00000031">
                <w:pPr>
                  <w:jc w:val="left"/>
                  <w:rPr>
                    <w:b w:val="1"/>
                    <w:sz w:val="22"/>
                    <w:szCs w:val="22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155cc"/>
                      <w:sz w:val="24"/>
                      <w:szCs w:val="24"/>
                      <w:u w:val="single"/>
                      <w:rtl w:val="0"/>
                    </w:rPr>
                    <w:t xml:space="preserve">https://jupyter.univ-paris13.fr/~12101147/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bookmarkStart w:colFirst="0" w:colLast="0" w:name="_heading=h.xyy0o31lamg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color w:val="ff0000"/>
        </w:rPr>
      </w:pPr>
      <w:bookmarkStart w:colFirst="0" w:colLast="0" w:name="_heading=h.z0jm4dz02o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Assembler plusieurs compétences pour un formateur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et India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10/06/2024</w:t>
            </w:r>
          </w:p>
        </w:tc>
      </w:tr>
    </w:tbl>
    <w:p w:rsidR="00000000" w:rsidDel="00000000" w:rsidP="00000000" w:rsidRDefault="00000000" w:rsidRPr="00000000" w14:paraId="0000005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jupyter.univ-paris13.fr/~1210114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2aadCQuPpRxUb1NY0V9m6Lro1w==">CgMxLjAaHwoBMBIaChgICVIUChJ0YWJsZS5iajlsdmc5ZmE3MDMyDmguOXBkMWdwdnphcTJ1Mg5oLnh5eTBvMzFsYW1nbjINaC56MGptNGR6MDJveTgAciExcTVsdGphcE9iVVlTMDVKa3l6Z0NxbVdZMTROcllaUHM=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