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Chen Patrick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23/05/2024 Eaubonne 9h00 - 12H30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India Cabo, Ryan Ramassamy, Patrick Chen,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 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Tentative d’ajout d’animation pour les FAQ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 réussi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Installation de postgres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Problème pour faire le backend du site sur mon ordinateur personnel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Pas réussi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567t7p956c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bookmarkStart w:colFirst="0" w:colLast="0" w:name="_heading=h.jeug4ihv5e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les actions à réaliser sur le front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28/05/2023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Présentiel - Villetaneuse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fK/QsmuLgGsNdLlmWjeWpI3IA==">CgMxLjAyDmguNTY3dDdwOTU2YzNzMg5oLmpldWc0aWh2NWU4bzIIaC5namRneHMyCWguMzBqMHpsbDIJaC4xZm9iOXRlOAByITF2enlxVW50N1RmZUNzVzF2VWNQWDJZWUF4TGpmNzdoaw==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