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Céline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28/05/2024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Axel, Ryan, India,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Correction du code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Réalisation de nos tâches se trouvant dans le tableau.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Ajustement de la page d’accueil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Réflexion sur le dark mode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Continuation du code à la prochaine séance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4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31/05/2023 </w:t>
      </w:r>
    </w:p>
    <w:p w:rsidR="00000000" w:rsidDel="00000000" w:rsidP="00000000" w:rsidRDefault="00000000" w:rsidRPr="00000000" w14:paraId="00000039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3A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Champs-sur-marne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SMV8cVYVybNXBmEjmaWThmHgg==">CgMxLjAyCGguZ2pkZ3hzMgloLjMwajB6bGwyCWguMWZvYjl0ZTgAciExRXA4ZGxZSk43OXJ5b3N3bE0wUGN4TGZRcUlQVUpzNEs=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