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AI Job Search Platform — PRD Review</w:t>
      </w:r>
    </w:p>
    <w:p>
      <w:pPr>
        <w:spacing w:after="320"/>
      </w:pPr>
      <w:r>
        <w:rPr>
          <w:i/>
          <w:iCs/>
          <w:color w:val="555555"/>
        </w:rPr>
        <w:t xml:space="preserve">Contradictions &amp; Open Architecture Decisions</w:t>
      </w:r>
    </w:p>
    <w:p>
      <w:pPr>
        <w:spacing w:after="160"/>
      </w:pPr>
      <w:r>
        <w:t xml:space="preserve">This document summarizes internal contradictions found in the product requirements document (PRD) and the architecture decisions that need explicit confirmation before MVP implementation begins. No code has been written yet — these items are blocking because they affect the overall system structure, not isolated implementation details.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Part 1 — Contradictions Found in the PRD</w:t>
      </w:r>
    </w:p>
    <w:p>
      <w:pPr>
        <w:pStyle w:val="Heading2"/>
        <w:spacing w:after="120" w:before="240"/>
      </w:pPr>
      <w:r>
        <w:t xml:space="preserve">1. Duplicated / conflicting authentication design</w:t>
      </w:r>
    </w:p>
    <w:p>
      <w:pPr>
        <w:spacing w:after="160"/>
      </w:pPr>
      <w:r>
        <w:t xml:space="preserve">Section 3.2 states that identity and session management will use Supabase Auth. Section 3.4 then specifies building a fully custom authentication system from scratch: manual bcrypt password hashing, hand-rolled JWT access/refresh tokens, a custom reset-token table with expiry, and manually configured HttpOnly/Secure/SameSite cookies.</w:t>
      </w:r>
    </w:p>
    <w:p>
      <w:pPr>
        <w:spacing w:after="80"/>
      </w:pPr>
      <w:r>
        <w:rPr>
          <w:b/>
          <w:bCs/>
        </w:rPr>
        <w:t xml:space="preserve">Why it matters:</w:t>
      </w:r>
    </w:p>
    <w:p>
      <w:pPr>
        <w:spacing w:after="160"/>
      </w:pPr>
      <w:r>
        <w:t xml:space="preserve">Supabase Auth already implements all of this natively, including Google OAuth, email/password sign-up, secure cookie-based sessions (via the official SSR helper library), password-reset email flows, and built-in TOTP-based multi-factor authentication for the Super Admin 2FA requirement. Re-implementing it by hand duplicates a security-critical system that is already solved, tested, and maintained — and increases the attack surface for no functional benefit.</w:t>
      </w:r>
    </w:p>
    <w:p>
      <w:pPr>
        <w:pStyle w:val="Heading2"/>
        <w:spacing w:after="120" w:before="240"/>
      </w:pPr>
      <w:r>
        <w:t xml:space="preserve">2. Python AI engine vs. Supabase Edge Functions</w:t>
      </w:r>
    </w:p>
    <w:p>
      <w:pPr>
        <w:spacing w:after="160"/>
      </w:pPr>
      <w:r>
        <w:t xml:space="preserve">Section 3.2 states the AI orchestration engine runs in a “Python environment,” but also states that backend logic and triggers are implemented via Supabase Edge Functions. Supabase Edge Functions execute only on the Deno/TypeScript runtime — they cannot run Python code.</w:t>
      </w:r>
    </w:p>
    <w:p>
      <w:pPr>
        <w:spacing w:after="80"/>
      </w:pPr>
      <w:r>
        <w:rPr>
          <w:b/>
          <w:bCs/>
        </w:rPr>
        <w:t xml:space="preserve">Why it matters:</w:t>
      </w:r>
    </w:p>
    <w:p>
      <w:pPr>
        <w:spacing w:after="160"/>
      </w:pPr>
      <w:r>
        <w:t xml:space="preserve">As written, the two statements cannot both be true. One of two paths must be chosen: (a) run the AI orchestration as a separate Python service (e.g. FastAPI) on its own hosting, invoked by Supabase via HTTP; or (b) drop Python and implement the four AI agents directly in TypeScript inside Supabase Edge Functions, keeping the whole backend on one platform.</w:t>
      </w:r>
    </w:p>
    <w:p>
      <w:pPr>
        <w:pStyle w:val="Heading2"/>
        <w:spacing w:after="120" w:before="240"/>
      </w:pPr>
      <w:r>
        <w:t xml:space="preserve">3. “Basic HTML/CSS” roadmap line vs. the actual screen specifications</w:t>
      </w:r>
    </w:p>
    <w:p>
      <w:pPr>
        <w:spacing w:after="160"/>
      </w:pPr>
      <w:r>
        <w:t xml:space="preserve">The MVP-vs-future-roadmap table (Section 4) describes the MVP UI as “basic web interface in HTML/CSS.” However, Section 2.7 specifies a draggable Kanban board, a streaming chat interface for the interview simulator, gauge charts for feedback scores, a multi-step Q&amp;A wizard, and full Hebrew RTL layout.</w:t>
      </w:r>
    </w:p>
    <w:p>
      <w:pPr>
        <w:spacing w:after="80"/>
      </w:pPr>
      <w:r>
        <w:rPr>
          <w:b/>
          <w:bCs/>
        </w:rPr>
        <w:t xml:space="preserve">Why it matters:</w:t>
      </w:r>
    </w:p>
    <w:p>
      <w:pPr>
        <w:spacing w:after="160"/>
      </w:pPr>
      <w:r>
        <w:t xml:space="preserve">These interaction patterns (drag-and-drop reordering, token-by-token streaming, client-side state synced with a live backend) are impractical to build reliably in raw HTML/CSS/vanilla JS without effectively reinventing the state-management layer that a frontend framework already provides.</w:t>
      </w:r>
    </w:p>
    <w:p>
      <w:pPr>
        <w:pStyle w:val="Heading2"/>
        <w:spacing w:after="120" w:before="240"/>
      </w:pPr>
      <w:r>
        <w:t xml:space="preserve">4. Data retention &amp; account-pause feature is unscoped</w:t>
      </w:r>
    </w:p>
    <w:p>
      <w:pPr>
        <w:spacing w:after="160"/>
      </w:pPr>
      <w:r>
        <w:t xml:space="preserve">Section 2.9 requires a 2-year data retention/archival policy and an account pause/reactivation mechanism with resumed-monitoring-from-reactivation-date logic. This feature does not appear in any of the five development phases (Section 7) nor in the MVP Acceptance Criteria (Section 6).</w:t>
      </w:r>
    </w:p>
    <w:p>
      <w:pPr>
        <w:spacing w:after="80"/>
      </w:pPr>
      <w:r>
        <w:rPr>
          <w:b/>
          <w:bCs/>
        </w:rPr>
        <w:t xml:space="preserve">Why it matters:</w:t>
      </w:r>
    </w:p>
    <w:p>
      <w:pPr>
        <w:spacing w:after="160"/>
      </w:pPr>
      <w:r>
        <w:t xml:space="preserve">It is unclear whether this is an MVP requirement that was simply left out of the phase plan by mistake, or a feature intentionally deferred to a later phase.</w:t>
      </w:r>
    </w:p>
    <w:p>
      <w:pPr>
        <w:pStyle w:val="Heading2"/>
        <w:spacing w:after="120" w:before="240"/>
      </w:pPr>
      <w:r>
        <w:t xml:space="preserve">5. Gmail API access is constrained by Google's own policies</w:t>
      </w:r>
    </w:p>
    <w:p>
      <w:pPr>
        <w:spacing w:after="160"/>
      </w:pPr>
      <w:r>
        <w:t xml:space="preserve">The PRD specifies Gmail API integration in “Developer/Testing mode” limited to 100 test users. In practice, this requires a Google Cloud project and an OAuth consent screen configured in Testing mode, with each test user's email manually whitelisted by the project owner in Google Cloud Console.</w:t>
      </w:r>
    </w:p>
    <w:p>
      <w:pPr>
        <w:spacing w:after="80"/>
      </w:pPr>
      <w:r>
        <w:rPr>
          <w:b/>
          <w:bCs/>
        </w:rPr>
        <w:t xml:space="preserve">Why it matters:</w:t>
      </w:r>
    </w:p>
    <w:p>
      <w:pPr>
        <w:spacing w:after="160"/>
      </w:pPr>
      <w:r>
        <w:t xml:space="preserve">This is an account-ownership action that only the product owner can perform — it cannot be automated or provisioned as part of implementation, and it should be scheduled as an early task since Google's app-verification review (needed to lift the 100-user cap) can take weeks.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Part 2 — Architecture Decisions Needed Before Implementation</w:t>
      </w:r>
    </w:p>
    <w:p>
      <w:pPr>
        <w:spacing w:after="160"/>
      </w:pPr>
      <w:r>
        <w:t xml:space="preserve">The following four decisions affect the overall project structure and cannot be reasonably assumed. A recommendation is included for each, but the final call belongs to the product owner.</w:t>
      </w:r>
    </w:p>
    <w:p>
      <w:pPr>
        <w:pStyle w:val="Heading2"/>
        <w:spacing w:after="120" w:before="240"/>
      </w:pPr>
      <w:r>
        <w:t xml:space="preserve">Decision 1 — LLM Provider</w:t>
      </w:r>
    </w:p>
    <w:p>
      <w:pPr>
        <w:spacing w:after="160"/>
      </w:pPr>
      <w:r>
        <w:t xml:space="preserve">Which LLM provider should power the four AI agents (Tailoring, Gatekeeper, Email Parser, Interviewer)? The PRD mentions “OpenAI / Anthropic” ambiguously, as if either is acceptable.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A: </w:t>
      </w:r>
      <w:r>
        <w:t xml:space="preserve">Anthropic Claude — strong structured-output reliability and tool use, and the primary reasoning model referenced throughout the tooling used to build this project.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B: </w:t>
      </w:r>
      <w:r>
        <w:t xml:space="preserve">OpenAI GPT — broad ecosystem support, also solid structured-output support.</w:t>
      </w:r>
    </w:p>
    <w:p>
      <w:pPr>
        <w:spacing w:after="160"/>
      </w:pPr>
      <w:r>
        <w:t xml:space="preserve">Recommendation: Anthropic Claude, given the Gatekeeper agent's need for reliable structured JSON output and strict constraint-following.</w:t>
      </w:r>
    </w:p>
    <w:p>
      <w:pPr>
        <w:pStyle w:val="Heading2"/>
        <w:spacing w:after="120" w:before="240"/>
      </w:pPr>
      <w:r>
        <w:t xml:space="preserve">Decision 2 — AI Orchestration Runtime</w:t>
      </w:r>
    </w:p>
    <w:p>
      <w:pPr>
        <w:spacing w:after="160"/>
      </w:pPr>
      <w:r>
        <w:t xml:space="preserve">Where should the four AI agents actually run — following directly from Contradiction #2 above.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A: </w:t>
      </w:r>
      <w:r>
        <w:t xml:space="preserve">Supabase Edge Functions only (TypeScript/Deno) — one platform, no extra hosting, no cross-service networking/CORS to manage, but deviates from the PRD's literal mention of “Python.”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B: </w:t>
      </w:r>
      <w:r>
        <w:t xml:space="preserve">A separate Python service (FastAPI) — matches the PRD's literal wording, but requires its own hosting (Render/Railway/Fly) and a secured call path from Supabase.</w:t>
      </w:r>
    </w:p>
    <w:p>
      <w:pPr>
        <w:spacing w:after="160"/>
      </w:pPr>
      <w:r>
        <w:t xml:space="preserve">Recommendation: Option A for MVP — fewer moving parts, faster to ship, and Supabase Edge Functions are fully capable of calling the Anthropic/OpenAI API and running the agent logic.</w:t>
      </w:r>
    </w:p>
    <w:p>
      <w:pPr>
        <w:pStyle w:val="Heading2"/>
        <w:spacing w:after="120" w:before="240"/>
      </w:pPr>
      <w:r>
        <w:t xml:space="preserve">Decision 3 — Authentication Implementation</w:t>
      </w:r>
    </w:p>
    <w:p>
      <w:pPr>
        <w:spacing w:after="160"/>
      </w:pPr>
      <w:r>
        <w:t xml:space="preserve">Following from Contradiction #1 above: build authentication on Supabase Auth's native features, or implement the fully custom mechanism described in Section 3.4?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A: </w:t>
      </w:r>
      <w:r>
        <w:t xml:space="preserve">Supabase Auth (built-in) — Google OAuth, email/password, secure session cookies, password reset, and built-in TOTP MFA. Meets every Acceptance Criterion in Section 6.5 without custom security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B: </w:t>
      </w:r>
      <w:r>
        <w:t xml:space="preserve">Fully custom JWT/bcrypt/reset-token system per Section 3.4 — significantly more code and security surface to build and maintain, with no functional gain over Option A.</w:t>
      </w:r>
    </w:p>
    <w:p>
      <w:pPr>
        <w:spacing w:after="160"/>
      </w:pPr>
      <w:r>
        <w:t xml:space="preserve">Recommendation: Option A.</w:t>
      </w:r>
    </w:p>
    <w:p>
      <w:pPr>
        <w:pStyle w:val="Heading2"/>
        <w:spacing w:after="120" w:before="240"/>
      </w:pPr>
      <w:r>
        <w:t xml:space="preserve">Decision 4 — Frontend Framework</w:t>
      </w:r>
    </w:p>
    <w:p>
      <w:pPr>
        <w:spacing w:after="160"/>
      </w:pPr>
      <w:r>
        <w:t xml:space="preserve">Following from Contradiction #3 above: which frontend approach should be used?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A: </w:t>
      </w:r>
      <w:r>
        <w:t xml:space="preserve">Next.js + React — handles RTL Hebrew layout, drag-and-drop Kanban, streaming chat UI, and can also host API routes if some backend logic doesn't belong in Edge Functions.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 B: </w:t>
      </w:r>
      <w:r>
        <w:t xml:space="preserve">Plain HTML/CSS/vanilla JS, per the literal MVP roadmap line — faster to start, but a poor fit for drag-and-drop and streaming interactions without custom-built state management.</w:t>
      </w:r>
    </w:p>
    <w:p>
      <w:pPr>
        <w:spacing w:after="160"/>
      </w:pPr>
      <w:r>
        <w:t xml:space="preserve">Recommendation: Option A.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Part 3 — Additional Points to Confirm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 the 2-year data retention policy and account pause/reactivation feature (Section 2.9) in scope for the MVP, or deferred to Phase 2?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Does a Google Cloud project with an OAuth consent screen already exist for this product, or does it need to be created from scratch (and by whom)?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Company logo display on Kanban cards (Section 2.7.1, Screen 3) — should this fetch a real logo (e.g. via a third-party logo API), or is a simple initials/placeholder avatar acceptable for MVP?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“match percentage” shown on the Gap Analysis screen (Section 2.7.1, Screen 4) has no defined calculation method in the PRD — should this be derived from the AI's own confidence output, or computed separately (e.g. keyword overlap ratio)?</w:t>
      </w:r>
    </w:p>
    <w:p>
      <w:pPr>
        <w:spacing w:before="300"/>
      </w:pPr>
    </w:p>
    <w:p>
      <w:pPr>
        <w:spacing w:after="160"/>
      </w:pPr>
      <w:r>
        <w:rPr>
          <w:i/>
          <w:iCs/>
          <w:color w:val="555555"/>
        </w:rPr>
        <w:t xml:space="preserve">No implementation will begin until the decisions in Part 2 are confirmed.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2026-09-07T21:03:54.177Z</dcterms:created>
  <dcterms:modified xsi:type="dcterms:W3CDTF">2026-09-07T21:03:54.178Z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