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jc w:val="left"/>
        <w:rPr>
          <w:u w:val="single"/>
        </w:rPr>
      </w:pPr>
      <w:bookmarkStart w:colFirst="0" w:colLast="0" w:name="_sxr7tqv38vtv" w:id="0"/>
      <w:bookmarkEnd w:id="0"/>
      <w:r w:rsidDel="00000000" w:rsidR="00000000" w:rsidRPr="00000000">
        <w:rPr>
          <w:u w:val="single"/>
          <w:rtl w:val="1"/>
        </w:rPr>
        <w:t xml:space="preserve">ארכיטקטורת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מערכות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תוכנה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תרגיל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בית</w:t>
      </w:r>
      <w:r w:rsidDel="00000000" w:rsidR="00000000" w:rsidRPr="00000000">
        <w:rPr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rug11cgb1ccx" w:id="1"/>
      <w:bookmarkEnd w:id="1"/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SigmaPub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bidi w:val="1"/>
        <w:rPr/>
      </w:pPr>
      <w:bookmarkStart w:colFirst="0" w:colLast="0" w:name="_avro5e168nt" w:id="2"/>
      <w:bookmarkEnd w:id="2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12">
      <w:pPr>
        <w:pStyle w:val="Heading1"/>
        <w:bidi w:val="1"/>
        <w:rPr/>
      </w:pPr>
      <w:bookmarkStart w:colFirst="0" w:colLast="0" w:name="_mq5hd5deg9ut" w:id="3"/>
      <w:bookmarkEnd w:id="3"/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pStyle w:val="Heading3"/>
        <w:bidi w:val="1"/>
        <w:rPr/>
      </w:pPr>
      <w:bookmarkStart w:colFirst="0" w:colLast="0" w:name="_3fi6mm7lyj3p" w:id="4"/>
      <w:bookmarkEnd w:id="4"/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bidi w:val="1"/>
        <w:rPr/>
      </w:pPr>
      <w:bookmarkStart w:colFirst="0" w:colLast="0" w:name="_i0zpnm9kbfw4" w:id="5"/>
      <w:bookmarkEnd w:id="5"/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bidi w:val="1"/>
        <w:rPr/>
      </w:pPr>
      <w:bookmarkStart w:colFirst="0" w:colLast="0" w:name="_gkp831vyfkzc" w:id="6"/>
      <w:bookmarkEnd w:id="6"/>
      <w:r w:rsidDel="00000000" w:rsidR="00000000" w:rsidRPr="00000000">
        <w:rPr>
          <w:rtl w:val="1"/>
        </w:rPr>
        <w:t xml:space="preserve">קונבנציות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camelCase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אינדנטציה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