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4"/>
          <w:szCs w:val="24"/>
        </w:rPr>
      </w:pPr>
      <w:r w:rsidDel="00000000" w:rsidR="00000000" w:rsidRPr="00000000">
        <w:rPr>
          <w:sz w:val="24"/>
          <w:szCs w:val="24"/>
          <w:rtl w:val="0"/>
        </w:rPr>
        <w:t xml:space="preserve">INTRODUCTION</w:t>
      </w:r>
    </w:p>
    <w:p w:rsidR="00000000" w:rsidDel="00000000" w:rsidP="00000000" w:rsidRDefault="00000000" w:rsidRPr="00000000" w14:paraId="00000002">
      <w:pPr>
        <w:pageBreakBefore w:val="0"/>
        <w:rPr>
          <w:sz w:val="24"/>
          <w:szCs w:val="24"/>
        </w:rPr>
      </w:pPr>
      <w:r w:rsidDel="00000000" w:rsidR="00000000" w:rsidRPr="00000000">
        <w:rPr>
          <w:sz w:val="24"/>
          <w:szCs w:val="24"/>
          <w:rtl w:val="0"/>
        </w:rPr>
        <w:t xml:space="preserve">Aridity The United Nations Convention to Combat Desertification (UNCCD) defines Arid, Semi-Arid and Dry Sub-Humid zones as ―areas, other than polar and sub-polar regions, in which the ratio of annual precipitation to potential evapotranspiration [the aridity index] falls within the range from 0.05 to 0.65.‖ Hyper-Arid zones are characterized by a ratio typically less than 0.05. Together, these arid environments account for over 47 percent of the land mass of the earth and are spread geographically across all continents. The African continent contains the largest area of arid environments, while Australia has the highest proportion — about 75% of its area. The intensity of aridity varies from one place to the other due to the variation of moisture deficit, and might even vary within one zone where various environmental factors play roles. Broad climatic attributes have been used to divide arid lands into three categories. Three arid zones can be delineated by this index: namely, hyper-arid, arid and semi-arid. </w:t>
      </w:r>
    </w:p>
    <w:p w:rsidR="00000000" w:rsidDel="00000000" w:rsidP="00000000" w:rsidRDefault="00000000" w:rsidRPr="00000000" w14:paraId="00000003">
      <w:pPr>
        <w:pageBreakBefore w:val="0"/>
        <w:rPr>
          <w:sz w:val="24"/>
          <w:szCs w:val="24"/>
        </w:rPr>
      </w:pPr>
      <w:r w:rsidDel="00000000" w:rsidR="00000000" w:rsidRPr="00000000">
        <w:rPr>
          <w:sz w:val="24"/>
          <w:szCs w:val="24"/>
          <w:rtl w:val="0"/>
        </w:rPr>
        <w:t xml:space="preserve"> Hyper-Arid Zone</w:t>
      </w:r>
    </w:p>
    <w:p w:rsidR="00000000" w:rsidDel="00000000" w:rsidP="00000000" w:rsidRDefault="00000000" w:rsidRPr="00000000" w14:paraId="00000004">
      <w:pPr>
        <w:pageBreakBefore w:val="0"/>
        <w:rPr>
          <w:sz w:val="24"/>
          <w:szCs w:val="24"/>
        </w:rPr>
      </w:pPr>
      <w:r w:rsidDel="00000000" w:rsidR="00000000" w:rsidRPr="00000000">
        <w:rPr>
          <w:sz w:val="24"/>
          <w:szCs w:val="24"/>
          <w:rtl w:val="0"/>
        </w:rPr>
        <w:t xml:space="preserve"> Of the total land area of the world, the hyper-arid zone covers 4.2% the arid zone 14.6%, and the semi-arid zone 12.2%. Therefore, almost one-third of the total area of the world is arid land. The hyper-arid zone (arid index 0.03) comprises dryland areas without vegetation, with the exception of a few scattered shrubs. True nomadic pastoralism is frequently practiced. Annual rainfall is low, rarely exceeding 100 millimetres. The rains are infrequent and irregular, sometimes with no rain during long periods of several years. 2.1.7.2 Arid Zone The arid zone (arid index 0.03-0.20) is characterized by pastoralism and no farming except with irrigation. For the most part, the native vegetation is sparse, comprising of annual and perennial grasses and other herbaceous vegetation, and shrubs and small trees. There is high rainfall variability, with annual amounts ranging between 100 and 300 millimetres. </w:t>
      </w:r>
    </w:p>
    <w:p w:rsidR="00000000" w:rsidDel="00000000" w:rsidP="00000000" w:rsidRDefault="00000000" w:rsidRPr="00000000" w14:paraId="00000005">
      <w:pPr>
        <w:pageBreakBefore w:val="0"/>
        <w:rPr>
          <w:sz w:val="24"/>
          <w:szCs w:val="24"/>
        </w:rPr>
      </w:pPr>
      <w:r w:rsidDel="00000000" w:rsidR="00000000" w:rsidRPr="00000000">
        <w:rPr>
          <w:sz w:val="24"/>
          <w:szCs w:val="24"/>
          <w:rtl w:val="0"/>
        </w:rPr>
        <w:t xml:space="preserve">Semi-Arid Zone </w:t>
      </w:r>
    </w:p>
    <w:p w:rsidR="00000000" w:rsidDel="00000000" w:rsidP="00000000" w:rsidRDefault="00000000" w:rsidRPr="00000000" w14:paraId="00000006">
      <w:pPr>
        <w:pageBreakBefore w:val="0"/>
        <w:rPr>
          <w:sz w:val="24"/>
          <w:szCs w:val="24"/>
        </w:rPr>
      </w:pPr>
      <w:r w:rsidDel="00000000" w:rsidR="00000000" w:rsidRPr="00000000">
        <w:rPr>
          <w:sz w:val="24"/>
          <w:szCs w:val="24"/>
          <w:rtl w:val="0"/>
        </w:rPr>
        <w:t xml:space="preserve">The semi-arid zone (arid index 0.20-0.50) can support rain-fed agriculture with more or less sustained levels of production. Sedentary livestock production also occurs. Native vegetation is represented by a variety of species, such as grasses and grass-like plants, fortes and half-shrubs, and shrubs and trees. Annual precipitation varies from 300-600 to 700-800 millimetres, with summer rains, and from 200-250 to 450-500 millimetres with winter rains. Arid conditions also are found in the sub-humid zone (arid index 0.50-0.75). However, environmentalists have argued that aridity is a product of both natural and man-made activities. The natural factors as mentioned above include climatic factors such as rainfall, temperatures and evapotranspiration. Man-made factors on the other hand include deforestation, soil erosion among others. While the man-made factors can be mitigated, natural factors require adaptability. Thirty-five percent of earth‘s people live in arid and semi-arid lands. The drylands cover 6150 million hectares i.e. forty-seven percent (47.2%) of Earths‘ total land surface area and closely follow the world‘s map of poverty. While already exposed to climate extremes, according to IPCC, drylands are likely to be severely hit by climate change. Despite increase in population in arid areas, the concerns of populations living on these lands remain under-represented in climateaction, development discussions and national policies 2.1.8 Carrying Capacity Refers to the population size of the species that the given environment can sustain indefinitely given food, habitat, water and other necessitiess available in the environment. The determinants of carrying capacity include; water, ecological conditions, resource availability, population growth rate, policy framework and technology. Increasing population with lack of innovation and a clear policy framework on how to improve productivity of land will see a decline in the carrying capacity. The carrying capacity of land can be increased by applying the relevant technology and ensuring a conducive policy framework. Countries like Israel with more than half of their land as drylands have embraced relevant 17 technology and clear policy framework. This has increased the carrying capacity of their land thereby sustaining their population on a small land area.</w:t>
      </w:r>
    </w:p>
    <w:p w:rsidR="00000000" w:rsidDel="00000000" w:rsidP="00000000" w:rsidRDefault="00000000" w:rsidRPr="00000000" w14:paraId="00000007">
      <w:pPr>
        <w:pageBreakBefore w:val="0"/>
        <w:rPr>
          <w:sz w:val="24"/>
          <w:szCs w:val="24"/>
        </w:rPr>
      </w:pPr>
      <w:r w:rsidDel="00000000" w:rsidR="00000000" w:rsidRPr="00000000">
        <w:rPr>
          <w:sz w:val="24"/>
          <w:szCs w:val="24"/>
          <w:rtl w:val="0"/>
        </w:rPr>
        <w:t xml:space="preserve">THE ROLE OF IRRIGATION TECHNOLOGY IN TRANSFORMING ARID AND SEMI ARID LANDS</w:t>
      </w:r>
    </w:p>
    <w:p w:rsidR="00000000" w:rsidDel="00000000" w:rsidP="00000000" w:rsidRDefault="00000000" w:rsidRPr="00000000" w14:paraId="00000008">
      <w:pPr>
        <w:pageBreakBefore w:val="0"/>
        <w:rPr>
          <w:sz w:val="24"/>
          <w:szCs w:val="24"/>
        </w:rPr>
      </w:pPr>
      <w:r w:rsidDel="00000000" w:rsidR="00000000" w:rsidRPr="00000000">
        <w:rPr>
          <w:sz w:val="24"/>
          <w:szCs w:val="24"/>
          <w:rtl w:val="0"/>
        </w:rPr>
        <w:t xml:space="preserve">The role of irrigation technology</w:t>
      </w:r>
    </w:p>
    <w:p w:rsidR="00000000" w:rsidDel="00000000" w:rsidP="00000000" w:rsidRDefault="00000000" w:rsidRPr="00000000" w14:paraId="00000009">
      <w:pPr>
        <w:pageBreakBefore w:val="0"/>
        <w:rPr>
          <w:sz w:val="24"/>
          <w:szCs w:val="24"/>
        </w:rPr>
      </w:pPr>
      <w:r w:rsidDel="00000000" w:rsidR="00000000" w:rsidRPr="00000000">
        <w:rPr>
          <w:sz w:val="24"/>
          <w:szCs w:val="24"/>
          <w:rtl w:val="0"/>
        </w:rPr>
        <w:t xml:space="preserve">  Promotion of Food Security Over years, empirical experience has shown that irrigation increases yield of most crops by between 100 and 400 per cent (FAO, 2009). It is expected that, over the next 30 years, 70% of the grain production will be from irrigated land in the world. The Food and Agriculture Organization (FAO, 2009) estimates that irrigated land in developing countries will increase by 27%t in the next 20 years, but the amount of water expected to be available for agricultural production will only increase by a mere 12 per cent. In Sub-Saharan Africa, only 4% of crop land is irrigated compared to 1.8% for Kenya.  However, in many parts of the world, there are large untapped reserves of ground water. In addition, there is great potential for harvesting runoff water for farming especially in the lowlands and valley-bottoms that store water naturally. With reasonable investments, this potential could be unleashed for increased food security in this era of food insecurity and deteriorating natural resources and production conditions as a result of climatic changes</w:t>
      </w:r>
    </w:p>
    <w:p w:rsidR="00000000" w:rsidDel="00000000" w:rsidP="00000000" w:rsidRDefault="00000000" w:rsidRPr="00000000" w14:paraId="0000000A">
      <w:pPr>
        <w:pageBreakBefore w:val="0"/>
        <w:rPr>
          <w:sz w:val="24"/>
          <w:szCs w:val="24"/>
        </w:rPr>
      </w:pPr>
      <w:r w:rsidDel="00000000" w:rsidR="00000000" w:rsidRPr="00000000">
        <w:rPr>
          <w:sz w:val="24"/>
          <w:szCs w:val="24"/>
          <w:rtl w:val="0"/>
        </w:rPr>
        <w:t xml:space="preserve">Irrigation Practices and Potential in Kenya The main irrigation schemes in the country are distributed over various agro ecological zones and regions, giving rise to unique opportunities for diversification, crop disease and pest control, low product market competition or gluts and less competition for water resources. The map below shows the location of the government managed schemes and the existing potential in various parts of the country. Location and size of existing public schemes and irrigation potential in Kenya According to the World Bank report, 2008, Kenya’s irrigated land as a percentage of Cropland is quite low and has stagnated at 1.6% since the year 2000 and rising marginally to 1.8% in 2003. The main irrigated crops are rice, maize, sugarcane, vegetables, bananas, citrus, coffee, tea, cotton and flowers. Some of these crops like maize, sugarcane, coffee, tea and cotton, technically, require large scales of operation for economic returns to be realized. As the ESP initiatives are being implemented care will have to be taken to guide the smallholders on the right crop for prevailing production systems. In this case, the implementation of ESP should go hand in hand with provision of adequate and focused extension, land use management, water use efficiency and environmental conservation in order to realize the anticipated results. Achievement of results normally would be the most reliable way of stimulating growth of irrigation that seems to be stagnating in Kenya. Introduction of fees or tariffs payable by water users is a sound decision to promote sustainability. The fees payable by the gravity water abstraction systems is pegged at Ksh 2000 per crop season whereas those who depend on pumping pay Ksh 4000 per crop season. These rates seem to have been arbitrarily decided as they do not change with 8 the change of diesel prices or the margin is high enough to absorb the price changes. Much more revenue can be generated from the schemes if appropriate technologies and cost effective designs could be put in place to improve scheme water use efficiency and save the producers of costs that are incurred due to low efficient systems.  The Irrigation Status in the Country Recent policy guidelines bringing on board various water management and user associations under the Ministry of Water and Irrigation are expected to improved water use efficiency to enable farmer put more land under irrigation. Even though, research institutions and other irrigation promoting agencies need to explore and introduce to the farmers yield improving technologies particularly in relation to improved seed, cultivation, harvesting and post harvest handling equipment. The present practices lack harvest equipment, yields achieved are low, postharvest losses are high and water supply is insufficient. Expansion by 4000 acres in Mwea scheme has been reported but production is done in rotational turns posing challenges of inability of NIB taking up critical issues as priority before expanding to other areas where the same constraints are likely to be realized soon after setting up costly systems. The water user and management associations have not been innovative enough to be able to tap the water resource from seasonal runoffs by way of storage and appropriate exploitation of the aquifer. Recurrent food insecurity among Kenyans has made scholars and institutions to look for solutions to alleviate the problem in the country. The issue of increasing cultivable land comes foremost since out of the 576,000km² only 17% is a high rainfall zone, receiving more than 1000 mm of rainfall annually and is arable enough to support farming without irrigation. The existing irrigation and drainage potential of 1.3 million and 600,000 ha respectively are within the second production zone that is characterized by medium rainfall of 750- 1000 mm per year occupying between 30 -35 percent of the country’s land area. Hitherto, 114,600 hectares are under irrigation and 30,000 ha drained. It is believed that out of the potential hectarage, 540,000 ha can be developed with the available water resources while the rest will require harvested and stored water. The land mainly under private smallholder irrigation is devoted to production of vegetables and fruits for export and the local market. These include Asian vegetables, Tomatoes, Spinach, Kales, brinjals, melons, corgets and chillies. Fruits include Mangoes, paw paws, bananas, custard apple and citrus. The returns from the commodities are relatively high and productivity is satisfactory. They are clustered along and around water sources which may have been developed with support from either the government or NGOs. The land parcels are commonly individually owned or rented. A number of these schemes have been produce collection points by exporter companies under various agreements but other producers are free to deliver their vegetables direct to major market like the Wakulima and Kongowea in Nairobi and Mombasa respectively. Those who are not in cluster agreements, do sell their produce at farm gate but even with marketing costs adding onto the produce price, they still make attractive margins which motivate them to continue production. 9 Although, this has been a popular organizational model of a number of privately operated schemes in the country, it has had some challenges including the environmental factors and climatic changes especially the water scarcity and lack of farmer capacity to handle the technological advancement in the enterprises. Quality control also has not been easy except where individual exporter companies have developed supervision and extension provision arrangements to be able to achieve the standards required for export farm products. Water use management and maintenance of water delivery structures is done by the cluster management committees who also pay part of their proceeds at agreed rates to the regional based water users’ association under the Ministry of Water and Irrigation. These category of irrigators experience very little influence from government quarters since scheme expansion is spontaneous depending on water availability. At times the irrigating farmers reduce irrigation activities to be able to attend to their rain-fed land parcels where they grow maize, beans, sweet potatoes, green grams, cassava and pigeon peas. This is their strategy of ensuring food security. Examples of these schemes can be seen in most districts of Kieni (Central province), Kajiado and Oloitoktok (Rift Valley), and Yatta, Kibwezi, Mtito Andie (Eastern province), Msambweni and Kaloleni (Coast Province) The large scale category of irrigators is individual or company owned with massive production for export and the local market. Their main market outlets are export companies, super markets chains, and deliveries to the market directly or through proxies. The farms are normally under no obligation to produce any crop that is not their choice. The farms provide significant employment in terms of casual labour especially those involved in vegetable and flower production. Some of the farms operate mixed production systems which depend on ground or river water or both. Examples these farms can be seen in Laikipia and Naivasha, Yalla, Thika, etc These category has no constraints of extension service because they employ own personnel and procure any equipment the deem necessary as long as economic returns are foreseeable the rate collapsing of this The irrigation schemes that are government managed through the NIB include:- Mwea, Perkkera, Bura, Hola, Ahero, West Kano and Bunyala. The schemes work under a relatively closed management by the NIB and are traditional rice growers with little or no rotation. They have a long history of management failures and a myriad of other problems that stem from the inabilities to self governance. They have not been able to exploit the available land fully at any one time and plans on what do next are all dependent on the NIB’s board decisions. The area per scheme, location and crop in season are tabulated table 2 below: 10 Among the critical challenges experienced by producers in these schemes include: inadequate water storage structures, inadequate drying facilities, low recoveries of operational and maintenance costs, inadequate extension services and farmer dependency syndrome. Because of the dependency syndrome, some of the schemes have been supported with irrigation pumps, seed, and revolving funds but still that is perceived as not being enough. This attitude coupled with difficulties to recover operational costs otherwise meant for repairs of water channels, construction of water storage facilities and any other equipment necessary for improvement of productivity will not be favourable for possible expansion of the land under irrigation. Unless this spoon feeding approach is changed, the ESP will draw strategies and allocate resources but it may remain a “business as usual” scenario. Last year, Hola and Bura schemes went for commercial maize production but did not realize economical returns as will be discussed later. This year the schemes including Perkkera are under seed maize production contract. It is expected that with the prices offered for seed production they will be business and indirectly contributing to the food security objective that is underlying the ESP. Whereas expansion of land under irrigation is thought to be one of the solutions to the food insecurity in the country (Agricultural Sector Development Strategy (ASDS) 2010- 2020), the apparent inadequacy of water, location of the potentials land and/or water, lack of independence in decision making by the operators and the scales of operation of individual producers may curtail realization of the dream. This is because about 40 per cent of the irrigated land belongs to private large farms that do not necessarily produce food stuffs for direct consumption, 42 per cent belong to smallholder farmers who are in own vegetable production business, and 18 per cent, government managed schemes. The fraction under government influence is too small to make significant contribution to the food security requirements given the challenges outlined above. More so, yields obtained from the public supported schemes are not optimal enough to sustain continued production in long term basis. An attempt to compare the income margins from other crops that can compete well Table 2: Public Irrigation Schemes Scheme County Area Main Crop Seed Rice Rice Rice Rice Seed Maize 1 2 3 4 5 6 7 Bura Tana 5000 1240 1200 15000 3000 2250 534 Tana Baringo Kirinya Kisumu Kisumu Busia Hola Perkerra Mwea Ahero West Bunyala Source : NIB, Area in Acres 11 with the resources devouted to rice revealed that the majority of the crops require low investment costs in terms of variable costs and generates better incomes compared to rice. This is the most critical consideration in business which NIB should consider if the land and water resources have to be put to rational use. Farm production practices also insist on aspects of crop rotation and fertility management not to mention the benefits of crop diversification especially in risk management. Reduction of cereal stocks actually reflects an anticipation of hunger among these communities. This therefore draws concern from crusaders of hunger alleviation worldwide triggering reactions towards carrying out surveys to establish benchmarks for estimating food requirements. FAO’s first forecast for world cereal production in 2010 stands at 2,286 million tonnes, marginally up from last year’s level. A reduction is forecast for wheat while output of coarse grains and rice are seen to rise this year. Early indications for cereals in the 2010/11 season point to near record world production, further build-up of cereal inventories, a modest increase in world trade and overall, a fairly comfortable cereal supply and demand outlook. International prices of all cereals showed a downward pressure during the second half of the 2009/10 season. World cereal stocks for crop seasons ending in 2011 are forecast to increase to 533 million tonnes, up 1% from their opening levels and the highest since 2002. Most of the increase is expected to be driven by larger rice inventories; however this would depend on whether the current forecast for larger grain in 2010 materializes. Based on current expectations.International prices for all major cereals have fallen considerably since the beginning of 2010 in view of ample export supplies and prospects for large grains in 2010. Wheat and rice prices have declined while maize prices increased in recent weeks, mostly in reaction to unexpected large purchases by China. Country Food Crop Performance Trends The cropping pattern in the country has mixed achievements over the last five years. In 2008, the output for most of the crops was the lowest. The main reason for this being the PEV and the onset of the fertilizer and input prices increase. The country’s production levels of food crops are still below consumption estimates. To mitigate this, the government has enhanced campaigns in the providing seed and fertilizer subsidies and supporting distribution of the same including and the promotion of the orphaned and traditional crops. This explains the growth in production of some of these crops ,in Kenya Food crop production performance has continued to decline, necessitating importation and reliance on cross border trade to cover for the deficit. Maize, which is the main cereal staple, exhibited a decline in production of 12% from 2.25million tons in 1999 to 1.98million tons in the year 2000. This is the second consecutive decline and resulted in the importation of about 0.4million tons for both relief and commercial purposes (GoK, Economic Survey 2001). Expansion in productivity of maize is currently constrained by inadequate smallholder technology high cost of improved inputs poor infrastructure and inconsistencies in the produce pricing policy environment. Maize output during the 1st quarter of 2010 made a dramatic recovery with actual harvests of 11,989,321 bags. Recovery was particularly conspicuous in the Eastern region which recorded a bumper harvest of 5,388,584 bags. </w:t>
      </w:r>
    </w:p>
    <w:p w:rsidR="00000000" w:rsidDel="00000000" w:rsidP="00000000" w:rsidRDefault="00000000" w:rsidRPr="00000000" w14:paraId="0000000B">
      <w:pPr>
        <w:pageBreakBefore w:val="0"/>
        <w:rPr>
          <w:sz w:val="24"/>
          <w:szCs w:val="24"/>
        </w:rPr>
      </w:pPr>
      <w:r w:rsidDel="00000000" w:rsidR="00000000" w:rsidRPr="00000000">
        <w:rPr>
          <w:sz w:val="24"/>
          <w:szCs w:val="24"/>
          <w:rtl w:val="0"/>
        </w:rPr>
        <w:t xml:space="preserve">Empirical data also indicates that the long-rains performance will be equally good with an estimated production of 25,937,976 bags. Accuracy of these figures may be questionable taking into account that no structured surveys are commissioned to collect data realistically. It may be noted that an estimate of 32 million bags of maize requirement to meet Kenya’s food sufficiency for one year has been in place since the country’s population was 30 million. It is 38 million and the figure does not seem to go up accordingly Rice production in the irrigated schemes has shown mixed performance. Agitation for greater autonomy by farmers especially in the major Mwea scheme in 1998, resulted in less produce sold to the government controlled rice mills. As a result payments to farmers from government showed marked decline, from KSh204million to KSh50million in 19997/98 and 1998/99 respectively, falling to a further KSh.0.5million 1999/00. The loosening of official clutches, combined with inadequate supply gave rise to better prices with the marketed value rising by 78.1% from KShs770million in 1998/99 to KShs1, 370million in 1999/2000 and Ksh. 2.7 billion in 2007 The total rice production from both irrigated and rain-fed systems is 47,256 metric tons, still not enough to meet domestic demand now standing at 300,000 metric tons (MoA, National Rice Development Strategy, 2008-2018). The deficit is made through importation. The move towards a truly liberalized production and marketing coupled with technological development for rainfed production offers the best chance to close the gap between production and domestic consumption. Traditional food crops, mainly sorghums, millets, bananas, and tubers cassava and sweet potato have an enormous potential for food security and processing, which has not been exploited. Though generally drought escaping, and therefore suited to the expansive sub- 14 humid areas of the country, inadequate or non-existent research, extension and organized marketing arrangements for these crops have relegated them to no more than casual occupation by farmers. Cassava and small grains (sorghum and millet) are particularly suited to production for processing for both human consumption and livestock feed. This potential has however remained unrealized due to: • Inadequate investment in research for suitable production and processing technolo gies; • Biased extension priorities in favour of more “modern” crops like rice and maize.</w:t>
      </w:r>
    </w:p>
    <w:p w:rsidR="00000000" w:rsidDel="00000000" w:rsidP="00000000" w:rsidRDefault="00000000" w:rsidRPr="00000000" w14:paraId="0000000C">
      <w:pPr>
        <w:pageBreakBefore w:val="0"/>
        <w:rPr>
          <w:sz w:val="24"/>
          <w:szCs w:val="24"/>
        </w:rPr>
      </w:pPr>
      <w:r w:rsidDel="00000000" w:rsidR="00000000" w:rsidRPr="00000000">
        <w:rPr>
          <w:sz w:val="24"/>
          <w:szCs w:val="24"/>
          <w:rtl w:val="0"/>
        </w:rPr>
        <w:t xml:space="preserve">The Prospects of Arid and Semi-Arid Lands</w:t>
      </w:r>
    </w:p>
    <w:p w:rsidR="00000000" w:rsidDel="00000000" w:rsidP="00000000" w:rsidRDefault="00000000" w:rsidRPr="00000000" w14:paraId="0000000D">
      <w:pPr>
        <w:pageBreakBefore w:val="0"/>
        <w:rPr>
          <w:sz w:val="24"/>
          <w:szCs w:val="24"/>
        </w:rPr>
      </w:pPr>
      <w:r w:rsidDel="00000000" w:rsidR="00000000" w:rsidRPr="00000000">
        <w:rPr>
          <w:sz w:val="24"/>
          <w:szCs w:val="24"/>
          <w:rtl w:val="0"/>
        </w:rPr>
        <w:t xml:space="preserve"> With the new policy, Kenya is seeking to addresses three distinct policy challenges. How to close the development gap between northern Kenya and the rest of the country; how to protect and promote institutions that are productive like pastoralism; and how to ensure food and nutrition security across the arid lands By addressing these three policy challenges, the government will release the latent potential of the arid and semi-arid lands, in livestock, crop farming, tourism and renewable energy, and its strategic location as Kenya‘s bridgehead to the markets of Northern Africa and the Middle East. The future of African dry lands, and their people, lies in securing pastoralism for those who wish to remain pastoralists, and providing alternative, but complementary, livelihoods options for those who do not (or cannot). The large potential in arid and semi-arid lands with a variety of resources needs to be exploited for the benefit of the local communities as well as the nations in general. </w:t>
      </w:r>
    </w:p>
    <w:p w:rsidR="00000000" w:rsidDel="00000000" w:rsidP="00000000" w:rsidRDefault="00000000" w:rsidRPr="00000000" w14:paraId="0000000E">
      <w:pPr>
        <w:pageBreakBefore w:val="0"/>
        <w:rPr>
          <w:sz w:val="24"/>
          <w:szCs w:val="24"/>
        </w:rPr>
      </w:pPr>
      <w:r w:rsidDel="00000000" w:rsidR="00000000" w:rsidRPr="00000000">
        <w:rPr>
          <w:rtl w:val="0"/>
        </w:rPr>
      </w:r>
    </w:p>
    <w:p w:rsidR="00000000" w:rsidDel="00000000" w:rsidP="00000000" w:rsidRDefault="00000000" w:rsidRPr="00000000" w14:paraId="0000000F">
      <w:pPr>
        <w:pageBreakBefore w:val="0"/>
        <w:rPr>
          <w:sz w:val="24"/>
          <w:szCs w:val="24"/>
        </w:rPr>
      </w:pPr>
      <w:r w:rsidDel="00000000" w:rsidR="00000000" w:rsidRPr="00000000">
        <w:rPr>
          <w:rtl w:val="0"/>
        </w:rPr>
      </w:r>
    </w:p>
    <w:p w:rsidR="00000000" w:rsidDel="00000000" w:rsidP="00000000" w:rsidRDefault="00000000" w:rsidRPr="00000000" w14:paraId="00000010">
      <w:pPr>
        <w:pageBreakBefore w:val="0"/>
        <w:rPr>
          <w:sz w:val="24"/>
          <w:szCs w:val="24"/>
        </w:rPr>
      </w:pPr>
      <w:r w:rsidDel="00000000" w:rsidR="00000000" w:rsidRPr="00000000">
        <w:rPr>
          <w:rtl w:val="0"/>
        </w:rPr>
      </w:r>
    </w:p>
    <w:p w:rsidR="00000000" w:rsidDel="00000000" w:rsidP="00000000" w:rsidRDefault="00000000" w:rsidRPr="00000000" w14:paraId="00000011">
      <w:pPr>
        <w:pageBreakBefore w:val="0"/>
        <w:rPr>
          <w:sz w:val="24"/>
          <w:szCs w:val="24"/>
        </w:rPr>
      </w:pPr>
      <w:r w:rsidDel="00000000" w:rsidR="00000000" w:rsidRPr="00000000">
        <w:rPr>
          <w:rtl w:val="0"/>
        </w:rPr>
      </w:r>
    </w:p>
    <w:p w:rsidR="00000000" w:rsidDel="00000000" w:rsidP="00000000" w:rsidRDefault="00000000" w:rsidRPr="00000000" w14:paraId="00000012">
      <w:pPr>
        <w:pageBreakBefore w:val="0"/>
        <w:rPr>
          <w:sz w:val="24"/>
          <w:szCs w:val="24"/>
        </w:rPr>
      </w:pPr>
      <w:r w:rsidDel="00000000" w:rsidR="00000000" w:rsidRPr="00000000">
        <w:rPr>
          <w:rtl w:val="0"/>
        </w:rPr>
      </w:r>
    </w:p>
    <w:p w:rsidR="00000000" w:rsidDel="00000000" w:rsidP="00000000" w:rsidRDefault="00000000" w:rsidRPr="00000000" w14:paraId="00000013">
      <w:pPr>
        <w:pageBreakBefore w:val="0"/>
        <w:rPr>
          <w:sz w:val="24"/>
          <w:szCs w:val="24"/>
        </w:rPr>
      </w:pPr>
      <w:r w:rsidDel="00000000" w:rsidR="00000000" w:rsidRPr="00000000">
        <w:rPr>
          <w:rtl w:val="0"/>
        </w:rPr>
      </w:r>
    </w:p>
    <w:p w:rsidR="00000000" w:rsidDel="00000000" w:rsidP="00000000" w:rsidRDefault="00000000" w:rsidRPr="00000000" w14:paraId="00000014">
      <w:pPr>
        <w:pageBreakBefore w:val="0"/>
        <w:rPr>
          <w:sz w:val="24"/>
          <w:szCs w:val="24"/>
        </w:rPr>
      </w:pPr>
      <w:r w:rsidDel="00000000" w:rsidR="00000000" w:rsidRPr="00000000">
        <w:rPr>
          <w:rtl w:val="0"/>
        </w:rPr>
      </w:r>
    </w:p>
    <w:p w:rsidR="00000000" w:rsidDel="00000000" w:rsidP="00000000" w:rsidRDefault="00000000" w:rsidRPr="00000000" w14:paraId="00000015">
      <w:pPr>
        <w:pageBreakBefore w:val="0"/>
        <w:rPr>
          <w:sz w:val="24"/>
          <w:szCs w:val="24"/>
        </w:rPr>
      </w:pPr>
      <w:r w:rsidDel="00000000" w:rsidR="00000000" w:rsidRPr="00000000">
        <w:rPr>
          <w:rtl w:val="0"/>
        </w:rPr>
      </w:r>
    </w:p>
    <w:p w:rsidR="00000000" w:rsidDel="00000000" w:rsidP="00000000" w:rsidRDefault="00000000" w:rsidRPr="00000000" w14:paraId="00000016">
      <w:pPr>
        <w:pageBreakBefore w:val="0"/>
        <w:rPr>
          <w:sz w:val="24"/>
          <w:szCs w:val="24"/>
        </w:rPr>
      </w:pPr>
      <w:r w:rsidDel="00000000" w:rsidR="00000000" w:rsidRPr="00000000">
        <w:rPr>
          <w:rtl w:val="0"/>
        </w:rPr>
      </w:r>
    </w:p>
    <w:p w:rsidR="00000000" w:rsidDel="00000000" w:rsidP="00000000" w:rsidRDefault="00000000" w:rsidRPr="00000000" w14:paraId="00000017">
      <w:pPr>
        <w:pageBreakBefore w:val="0"/>
        <w:rPr>
          <w:sz w:val="24"/>
          <w:szCs w:val="24"/>
        </w:rPr>
      </w:pPr>
      <w:r w:rsidDel="00000000" w:rsidR="00000000" w:rsidRPr="00000000">
        <w:rPr>
          <w:rtl w:val="0"/>
        </w:rPr>
      </w:r>
    </w:p>
    <w:p w:rsidR="00000000" w:rsidDel="00000000" w:rsidP="00000000" w:rsidRDefault="00000000" w:rsidRPr="00000000" w14:paraId="00000018">
      <w:pPr>
        <w:pageBreakBefore w:val="0"/>
        <w:rPr>
          <w:sz w:val="24"/>
          <w:szCs w:val="24"/>
        </w:rPr>
      </w:pPr>
      <w:r w:rsidDel="00000000" w:rsidR="00000000" w:rsidRPr="00000000">
        <w:rPr>
          <w:rtl w:val="0"/>
        </w:rPr>
      </w:r>
    </w:p>
    <w:p w:rsidR="00000000" w:rsidDel="00000000" w:rsidP="00000000" w:rsidRDefault="00000000" w:rsidRPr="00000000" w14:paraId="00000019">
      <w:pPr>
        <w:pageBreakBefore w:val="0"/>
        <w:rPr>
          <w:sz w:val="24"/>
          <w:szCs w:val="24"/>
        </w:rPr>
      </w:pPr>
      <w:r w:rsidDel="00000000" w:rsidR="00000000" w:rsidRPr="00000000">
        <w:rPr>
          <w:sz w:val="24"/>
          <w:szCs w:val="24"/>
          <w:rtl w:val="0"/>
        </w:rPr>
        <w:t xml:space="preserve">Conclusion</w:t>
      </w:r>
    </w:p>
    <w:p w:rsidR="00000000" w:rsidDel="00000000" w:rsidP="00000000" w:rsidRDefault="00000000" w:rsidRPr="00000000" w14:paraId="0000001A">
      <w:pPr>
        <w:pageBreakBefore w:val="0"/>
        <w:rPr>
          <w:sz w:val="24"/>
          <w:szCs w:val="24"/>
        </w:rPr>
      </w:pPr>
      <w:r w:rsidDel="00000000" w:rsidR="00000000" w:rsidRPr="00000000">
        <w:rPr>
          <w:sz w:val="24"/>
          <w:szCs w:val="24"/>
          <w:rtl w:val="0"/>
        </w:rPr>
        <w:t xml:space="preserve">Through many ways irrigation technology might be put in place to realize better agricultural production. Eventually the economy runs as a result of revenue while the farmers in arid areas can benefit by earning a decent income .this one can be established by reclaiming and irrigating arid and semi arid lands (asal)</w:t>
      </w:r>
    </w:p>
    <w:p w:rsidR="00000000" w:rsidDel="00000000" w:rsidP="00000000" w:rsidRDefault="00000000" w:rsidRPr="00000000" w14:paraId="0000001B">
      <w:pPr>
        <w:pageBreakBefore w:val="0"/>
        <w:rPr>
          <w:sz w:val="24"/>
          <w:szCs w:val="24"/>
        </w:rPr>
      </w:pPr>
      <w:r w:rsidDel="00000000" w:rsidR="00000000" w:rsidRPr="00000000">
        <w:rPr>
          <w:rtl w:val="0"/>
        </w:rPr>
      </w:r>
    </w:p>
    <w:p w:rsidR="00000000" w:rsidDel="00000000" w:rsidP="00000000" w:rsidRDefault="00000000" w:rsidRPr="00000000" w14:paraId="0000001C">
      <w:pPr>
        <w:pageBreakBefore w:val="0"/>
        <w:rPr>
          <w:sz w:val="24"/>
          <w:szCs w:val="24"/>
        </w:rPr>
      </w:pPr>
      <w:r w:rsidDel="00000000" w:rsidR="00000000" w:rsidRPr="00000000">
        <w:rPr>
          <w:rtl w:val="0"/>
        </w:rPr>
      </w:r>
    </w:p>
    <w:p w:rsidR="00000000" w:rsidDel="00000000" w:rsidP="00000000" w:rsidRDefault="00000000" w:rsidRPr="00000000" w14:paraId="0000001D">
      <w:pPr>
        <w:pageBreakBefore w:val="0"/>
        <w:rPr>
          <w:sz w:val="24"/>
          <w:szCs w:val="24"/>
        </w:rPr>
      </w:pPr>
      <w:r w:rsidDel="00000000" w:rsidR="00000000" w:rsidRPr="00000000">
        <w:rPr>
          <w:sz w:val="24"/>
          <w:szCs w:val="24"/>
          <w:rtl w:val="0"/>
        </w:rPr>
        <w:t xml:space="preserve">Reference</w:t>
      </w:r>
    </w:p>
    <w:p w:rsidR="00000000" w:rsidDel="00000000" w:rsidP="00000000" w:rsidRDefault="00000000" w:rsidRPr="00000000" w14:paraId="0000001E">
      <w:pPr>
        <w:pageBreakBefore w:val="0"/>
        <w:rPr>
          <w:sz w:val="24"/>
          <w:szCs w:val="24"/>
        </w:rPr>
      </w:pPr>
      <w:r w:rsidDel="00000000" w:rsidR="00000000" w:rsidRPr="00000000">
        <w:rPr>
          <w:sz w:val="24"/>
          <w:szCs w:val="24"/>
          <w:rtl w:val="0"/>
        </w:rPr>
        <w:t xml:space="preserve">Bovin M., Manger L.,eds.(1990); Adaptive Strategies In African Arid Lands, 320pp. Uppsala Sweden: SIAS publication. Dregne H.E.(1970); Arid Lands in Transition, 180 pp. AAAS Publication No.90. Washington DC. Economic Review of. Agriculture. 2010. REPUBLIC OF KENYA. Ministry of Agriculture. Prepared by: Central Planning and. Project Monitoring Unit. Economic Review of. Agriculture. 2011. REPUBLIC OF KENYA. Ministry of Agriculture. Prepared by: Central Planning and. Project Monitoring Unit. Economic Review of. Agriculture. 2012. REPUBLIC OF KENYA. Ministry of Agriculture. Prepared by: Central Planning and. Project Monitoring Unit. EHDR, 2003.Egypt Human Development Report. United Nations Development El-Mowelhi, N., Abt, Y., Herman, Z., (1996). Project Proposals for Collective Agricultural and Rural Development of Settlement in Nubariya Region, Egypt. MASHAV, Centre for International Cooperation. August 1996. El-Zoghby, S.M., (1999). Sustainable planning of desert land reclamation projects in Egypt as related to drought management: an integrated strategy. In: Paper Presented at the International Conference on Integrated Drought Management, arranged by UNESCO, 20–22 September 1999, Pretoria, South Africa. Enien, R.R. et al, (2000). A New Research Paradigm For Sustainable Agriculture in Egypt. Experimental Agriculture 36 (2), 265–271. FAO (1996). Agro-ecological Zoning Guidelines. FAO Soils Bulletin 73. Rom. www.fao.org FAO, (1976); A framework For Land Evaluation. Rome Gachene, C.K.K. and Kimaru, G. (2003). Soil Fertility and Land Productivity .</w:t>
      </w:r>
    </w:p>
    <w:p w:rsidR="00000000" w:rsidDel="00000000" w:rsidP="00000000" w:rsidRDefault="00000000" w:rsidRPr="00000000" w14:paraId="0000001F">
      <w:pPr>
        <w:pageBreakBefore w:val="0"/>
        <w:rPr>
          <w:sz w:val="24"/>
          <w:szCs w:val="24"/>
        </w:rPr>
      </w:pPr>
      <w:r w:rsidDel="00000000" w:rsidR="00000000" w:rsidRPr="00000000">
        <w:rPr>
          <w:rtl w:val="0"/>
        </w:rPr>
      </w:r>
    </w:p>
    <w:p w:rsidR="00000000" w:rsidDel="00000000" w:rsidP="00000000" w:rsidRDefault="00000000" w:rsidRPr="00000000" w14:paraId="00000020">
      <w:pPr>
        <w:pageBreakBefore w:val="0"/>
        <w:rPr>
          <w:sz w:val="24"/>
          <w:szCs w:val="24"/>
        </w:rPr>
      </w:pPr>
      <w:r w:rsidDel="00000000" w:rsidR="00000000" w:rsidRPr="00000000">
        <w:rPr>
          <w:rtl w:val="0"/>
        </w:rPr>
      </w:r>
    </w:p>
    <w:p w:rsidR="00000000" w:rsidDel="00000000" w:rsidP="00000000" w:rsidRDefault="00000000" w:rsidRPr="00000000" w14:paraId="00000021">
      <w:pPr>
        <w:pageBreakBefore w:val="0"/>
        <w:rPr>
          <w:sz w:val="24"/>
          <w:szCs w:val="24"/>
        </w:rPr>
      </w:pPr>
      <w:r w:rsidDel="00000000" w:rsidR="00000000" w:rsidRPr="00000000">
        <w:rPr>
          <w:rtl w:val="0"/>
        </w:rPr>
      </w:r>
    </w:p>
    <w:p w:rsidR="00000000" w:rsidDel="00000000" w:rsidP="00000000" w:rsidRDefault="00000000" w:rsidRPr="00000000" w14:paraId="00000022">
      <w:pPr>
        <w:pageBreakBefore w:val="0"/>
        <w:rPr>
          <w:sz w:val="24"/>
          <w:szCs w:val="24"/>
        </w:rPr>
      </w:pPr>
      <w:r w:rsidDel="00000000" w:rsidR="00000000" w:rsidRPr="00000000">
        <w:rPr>
          <w:rtl w:val="0"/>
        </w:rPr>
      </w:r>
    </w:p>
    <w:p w:rsidR="00000000" w:rsidDel="00000000" w:rsidP="00000000" w:rsidRDefault="00000000" w:rsidRPr="00000000" w14:paraId="00000023">
      <w:pPr>
        <w:pageBreakBefore w:val="0"/>
        <w:rPr>
          <w:sz w:val="24"/>
          <w:szCs w:val="24"/>
        </w:rPr>
      </w:pPr>
      <w:r w:rsidDel="00000000" w:rsidR="00000000" w:rsidRPr="00000000">
        <w:rPr>
          <w:rtl w:val="0"/>
        </w:rPr>
      </w:r>
    </w:p>
    <w:p w:rsidR="00000000" w:rsidDel="00000000" w:rsidP="00000000" w:rsidRDefault="00000000" w:rsidRPr="00000000" w14:paraId="00000024">
      <w:pPr>
        <w:pageBreakBefore w:val="0"/>
        <w:rPr>
          <w:sz w:val="24"/>
          <w:szCs w:val="24"/>
        </w:rPr>
      </w:pPr>
      <w:r w:rsidDel="00000000" w:rsidR="00000000" w:rsidRPr="00000000">
        <w:rPr>
          <w:rtl w:val="0"/>
        </w:rPr>
      </w:r>
    </w:p>
    <w:p w:rsidR="00000000" w:rsidDel="00000000" w:rsidP="00000000" w:rsidRDefault="00000000" w:rsidRPr="00000000" w14:paraId="00000025">
      <w:pPr>
        <w:pageBreakBefore w:val="0"/>
        <w:rPr>
          <w:sz w:val="24"/>
          <w:szCs w:val="24"/>
        </w:rPr>
      </w:pPr>
      <w:r w:rsidDel="00000000" w:rsidR="00000000" w:rsidRPr="00000000">
        <w:rPr>
          <w:rtl w:val="0"/>
        </w:rPr>
      </w:r>
    </w:p>
    <w:p w:rsidR="00000000" w:rsidDel="00000000" w:rsidP="00000000" w:rsidRDefault="00000000" w:rsidRPr="00000000" w14:paraId="00000026">
      <w:pPr>
        <w:pageBreakBefore w:val="0"/>
        <w:rPr>
          <w:sz w:val="24"/>
          <w:szCs w:val="24"/>
        </w:rPr>
      </w:pPr>
      <w:r w:rsidDel="00000000" w:rsidR="00000000" w:rsidRPr="00000000">
        <w:rPr>
          <w:rtl w:val="0"/>
        </w:rPr>
      </w:r>
    </w:p>
    <w:p w:rsidR="00000000" w:rsidDel="00000000" w:rsidP="00000000" w:rsidRDefault="00000000" w:rsidRPr="00000000" w14:paraId="00000027">
      <w:pPr>
        <w:pageBreakBefore w:val="0"/>
        <w:rPr>
          <w:sz w:val="24"/>
          <w:szCs w:val="24"/>
        </w:rPr>
      </w:pPr>
      <w:r w:rsidDel="00000000" w:rsidR="00000000" w:rsidRPr="00000000">
        <w:rPr>
          <w:rtl w:val="0"/>
        </w:rPr>
      </w:r>
    </w:p>
    <w:p w:rsidR="00000000" w:rsidDel="00000000" w:rsidP="00000000" w:rsidRDefault="00000000" w:rsidRPr="00000000" w14:paraId="00000028">
      <w:pPr>
        <w:pageBreakBefore w:val="0"/>
        <w:rPr>
          <w:sz w:val="24"/>
          <w:szCs w:val="24"/>
        </w:rPr>
      </w:pPr>
      <w:r w:rsidDel="00000000" w:rsidR="00000000" w:rsidRPr="00000000">
        <w:rPr>
          <w:rtl w:val="0"/>
        </w:rPr>
      </w:r>
    </w:p>
    <w:p w:rsidR="00000000" w:rsidDel="00000000" w:rsidP="00000000" w:rsidRDefault="00000000" w:rsidRPr="00000000" w14:paraId="00000029">
      <w:pPr>
        <w:pageBreakBefore w:val="0"/>
        <w:rPr>
          <w:sz w:val="24"/>
          <w:szCs w:val="24"/>
        </w:rPr>
      </w:pPr>
      <w:r w:rsidDel="00000000" w:rsidR="00000000" w:rsidRPr="00000000">
        <w:rPr>
          <w:sz w:val="24"/>
          <w:szCs w:val="24"/>
          <w:rtl w:val="0"/>
        </w:rPr>
        <w:tab/>
        <w:tab/>
        <w:tab/>
      </w:r>
    </w:p>
    <w:p w:rsidR="00000000" w:rsidDel="00000000" w:rsidP="00000000" w:rsidRDefault="00000000" w:rsidRPr="00000000" w14:paraId="0000002A">
      <w:pPr>
        <w:pageBreakBefore w:val="0"/>
        <w:rPr>
          <w:sz w:val="24"/>
          <w:szCs w:val="24"/>
        </w:rPr>
      </w:pPr>
      <w:r w:rsidDel="00000000" w:rsidR="00000000" w:rsidRPr="00000000">
        <w:rPr>
          <w:sz w:val="24"/>
          <w:szCs w:val="24"/>
        </w:rPr>
        <w:drawing>
          <wp:inline distB="0" distT="0" distL="0" distR="0">
            <wp:extent cx="5349875" cy="2675255"/>
            <wp:effectExtent b="0" l="0" r="0" t="0"/>
            <wp:docPr descr="C:\Users\student.LHCOMP7\Desktop\duke.jpg" id="1" name="image1.jpg"/>
            <a:graphic>
              <a:graphicData uri="http://schemas.openxmlformats.org/drawingml/2006/picture">
                <pic:pic>
                  <pic:nvPicPr>
                    <pic:cNvPr descr="C:\Users\student.LHCOMP7\Desktop\duke.jpg" id="0" name="image1.jpg"/>
                    <pic:cNvPicPr preferRelativeResize="0"/>
                  </pic:nvPicPr>
                  <pic:blipFill>
                    <a:blip r:embed="rId6"/>
                    <a:srcRect b="0" l="0" r="0" t="0"/>
                    <a:stretch>
                      <a:fillRect/>
                    </a:stretch>
                  </pic:blipFill>
                  <pic:spPr>
                    <a:xfrm>
                      <a:off x="0" y="0"/>
                      <a:ext cx="5349875" cy="267525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ageBreakBefore w:val="0"/>
        <w:rPr>
          <w:sz w:val="24"/>
          <w:szCs w:val="24"/>
        </w:rPr>
      </w:pPr>
      <w:r w:rsidDel="00000000" w:rsidR="00000000" w:rsidRPr="00000000">
        <w:rPr>
          <w:sz w:val="24"/>
          <w:szCs w:val="24"/>
          <w:rtl w:val="0"/>
        </w:rPr>
        <w:t xml:space="preserve">COLLEGE OF EDUCATION AND EXTERNAL STUDIES</w:t>
      </w:r>
    </w:p>
    <w:p w:rsidR="00000000" w:rsidDel="00000000" w:rsidP="00000000" w:rsidRDefault="00000000" w:rsidRPr="00000000" w14:paraId="0000002C">
      <w:pPr>
        <w:pageBreakBefore w:val="0"/>
        <w:rPr>
          <w:sz w:val="24"/>
          <w:szCs w:val="24"/>
        </w:rPr>
      </w:pPr>
      <w:r w:rsidDel="00000000" w:rsidR="00000000" w:rsidRPr="00000000">
        <w:rPr>
          <w:sz w:val="24"/>
          <w:szCs w:val="24"/>
          <w:rtl w:val="0"/>
        </w:rPr>
        <w:t xml:space="preserve">DEPARTMENT OF GEOGRAPHY AND ENVIROMENTAL SCIENCE</w:t>
      </w:r>
    </w:p>
    <w:p w:rsidR="00000000" w:rsidDel="00000000" w:rsidP="00000000" w:rsidRDefault="00000000" w:rsidRPr="00000000" w14:paraId="0000002D">
      <w:pPr>
        <w:pageBreakBefore w:val="0"/>
        <w:rPr>
          <w:sz w:val="24"/>
          <w:szCs w:val="24"/>
        </w:rPr>
      </w:pPr>
      <w:r w:rsidDel="00000000" w:rsidR="00000000" w:rsidRPr="00000000">
        <w:rPr>
          <w:rtl w:val="0"/>
        </w:rPr>
      </w:r>
    </w:p>
    <w:p w:rsidR="00000000" w:rsidDel="00000000" w:rsidP="00000000" w:rsidRDefault="00000000" w:rsidRPr="00000000" w14:paraId="0000002E">
      <w:pPr>
        <w:pageBreakBefore w:val="0"/>
        <w:rPr>
          <w:sz w:val="24"/>
          <w:szCs w:val="24"/>
        </w:rPr>
      </w:pPr>
      <w:r w:rsidDel="00000000" w:rsidR="00000000" w:rsidRPr="00000000">
        <w:rPr>
          <w:rtl w:val="0"/>
        </w:rPr>
      </w:r>
    </w:p>
    <w:p w:rsidR="00000000" w:rsidDel="00000000" w:rsidP="00000000" w:rsidRDefault="00000000" w:rsidRPr="00000000" w14:paraId="0000002F">
      <w:pPr>
        <w:pageBreakBefore w:val="0"/>
        <w:rPr>
          <w:sz w:val="24"/>
          <w:szCs w:val="24"/>
        </w:rPr>
      </w:pPr>
      <w:r w:rsidDel="00000000" w:rsidR="00000000" w:rsidRPr="00000000">
        <w:rPr>
          <w:sz w:val="24"/>
          <w:szCs w:val="24"/>
          <w:rtl w:val="0"/>
        </w:rPr>
        <w:t xml:space="preserve">KAREEM  JUMA</w:t>
      </w:r>
    </w:p>
    <w:p w:rsidR="00000000" w:rsidDel="00000000" w:rsidP="00000000" w:rsidRDefault="00000000" w:rsidRPr="00000000" w14:paraId="00000030">
      <w:pPr>
        <w:pageBreakBefore w:val="0"/>
        <w:rPr>
          <w:sz w:val="24"/>
          <w:szCs w:val="24"/>
        </w:rPr>
      </w:pPr>
      <w:r w:rsidDel="00000000" w:rsidR="00000000" w:rsidRPr="00000000">
        <w:rPr>
          <w:sz w:val="24"/>
          <w:szCs w:val="24"/>
          <w:rtl w:val="0"/>
        </w:rPr>
        <w:t xml:space="preserve">E35/3819/2016</w:t>
      </w:r>
    </w:p>
    <w:p w:rsidR="00000000" w:rsidDel="00000000" w:rsidP="00000000" w:rsidRDefault="00000000" w:rsidRPr="00000000" w14:paraId="00000031">
      <w:pPr>
        <w:pageBreakBefore w:val="0"/>
        <w:rPr>
          <w:sz w:val="24"/>
          <w:szCs w:val="24"/>
        </w:rPr>
      </w:pPr>
      <w:r w:rsidDel="00000000" w:rsidR="00000000" w:rsidRPr="00000000">
        <w:rPr>
          <w:sz w:val="24"/>
          <w:szCs w:val="24"/>
          <w:rtl w:val="0"/>
        </w:rPr>
        <w:t xml:space="preserve"> TASK; DISCUSS THE ROLE OF IRRIGATION TECHNOLOGY IN TRANSFORMING ARID AND SEMI ARID LANDS </w:t>
      </w:r>
    </w:p>
    <w:p w:rsidR="00000000" w:rsidDel="00000000" w:rsidP="00000000" w:rsidRDefault="00000000" w:rsidRPr="00000000" w14:paraId="00000032">
      <w:pPr>
        <w:pageBreakBefore w:val="0"/>
        <w:rPr>
          <w:sz w:val="24"/>
          <w:szCs w:val="24"/>
        </w:rPr>
      </w:pPr>
      <w:r w:rsidDel="00000000" w:rsidR="00000000" w:rsidRPr="00000000">
        <w:rPr>
          <w:sz w:val="24"/>
          <w:szCs w:val="24"/>
          <w:rtl w:val="0"/>
        </w:rPr>
        <w:t xml:space="preserve">DATE OF SUBMISSION :</w:t>
      </w:r>
    </w:p>
    <w:p w:rsidR="00000000" w:rsidDel="00000000" w:rsidP="00000000" w:rsidRDefault="00000000" w:rsidRPr="00000000" w14:paraId="00000033">
      <w:pPr>
        <w:pageBreakBefore w:val="0"/>
        <w:rPr>
          <w:sz w:val="24"/>
          <w:szCs w:val="24"/>
        </w:rPr>
      </w:pPr>
      <w:r w:rsidDel="00000000" w:rsidR="00000000" w:rsidRPr="00000000">
        <w:rPr>
          <w:sz w:val="24"/>
          <w:szCs w:val="24"/>
          <w:rtl w:val="0"/>
        </w:rPr>
        <w:t xml:space="preserve">SIGNATURE</w:t>
      </w:r>
    </w:p>
    <w:p w:rsidR="00000000" w:rsidDel="00000000" w:rsidP="00000000" w:rsidRDefault="00000000" w:rsidRPr="00000000" w14:paraId="00000034">
      <w:pPr>
        <w:pageBreakBefore w:val="0"/>
        <w:rPr>
          <w:sz w:val="24"/>
          <w:szCs w:val="24"/>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pageBreakBefore w:val="0"/>
      <w:jc w:val="center"/>
      <w:rPr>
        <w:sz w:val="16"/>
        <w:szCs w:val="1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