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spread across 4–5 meals including a pre-sleep dose (pre-sleep protein improves overnight muscle protein synthesis). The g/kg range is the real prescription; the working figure of roughly 130–175g/day assumes a body weight that has not actually been recorded yet, so bring a single weigh-in to any session and this gets set exactly rather than estimated. Collagen: Shaw et al. (2017) dosed 15g vitamin-C-enriched gelatin one hour before loading, so the protocol here is 15g collagen peptides + ~50mg vitamin C taken 45–60 minutes before each of the three training sessions. Be clear-eyed about what this is for: it is a chronic, structural connective-tissue support protocol taken consistently across 12+ weeks — not a pre-workout that does anything for you on the day. Current evidence (a January 2026 umbrella review of 16 meta-analyses and 113 RCTs, plus a separate meta-analysis of 13 RCTs) finds a low-certainty benefit to tendon morphology, no measurable effect on tendon mechanical properties, and no added performance benefit on top of the training itself. Priority order, in plain terms: hit the protein target first, creatine second if you choose to use it, collagen third — it is the most speculative of the three and should never displace either. The loading in this program is the actual tendon intervention; collagen supports it and does not substitute for it. Continue alongside Jason Bethea's care.</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ICONS's Evidence-Based Science Layer (protein/creatine tiers, ALST sarcopenia thresholds, the LIFTMOR postmenopausal bone-loading protocol, pelvic floor triggers) is derived specifically from research on women 40-65 navigating hormonal transitions — none of it transfers to a 25-year-old male client. A Male Client Programming Framework now exists (built 8/11/2026) with real male-specific thresholds, and its "20-39 — Foundation" bracket is where Jake would sit — but its numeric interpretation tools (ALST/VFA/BMI/body-fat-% reads, protein/creatine targets) all require weight and/or Styku scan data, and neither is on file for him. There is nothing numeric to attach those thresholds to yet, not an absent framework. This program instead uses the age/sex-appropriate research already cited above (Robinson et al. 2024/2025, Morton et al. 2018, Shaw/Bischof/Praet on collagen and tendon loading). What does carry over from ICONS regardless: the Isolated → Compound → Metabolic structural philosophy and RPE/RIR-based autoregulated progressive overload — both demographic-neutral principles, applied here on their own merits. Revisit this note if a Styku scan or weigh-in is ever added to his intake record.</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100"/>
      </w:pPr>
      <w:r>
        <w:rPr>
          <w:rFonts w:ascii="Arial" w:cs="Arial" w:eastAsia="Arial" w:hAnsi="Arial"/>
          <w:b/>
          <w:bCs/>
          <w:color w:val="C9A227"/>
          <w:sz w:val="17"/>
          <w:szCs w:val="17"/>
        </w:rPr>
        <w:t xml:space="preserve">Collagen Protocol — What Changed 8/20/2026 and Why:  </w:t>
      </w:r>
      <w:r>
        <w:rPr>
          <w:rFonts w:ascii="Arial" w:cs="Arial" w:eastAsia="Arial" w:hAnsi="Arial"/>
          <w:color w:val="2C2C2C"/>
          <w:sz w:val="17"/>
          <w:szCs w:val="17"/>
        </w:rPr>
        <w:t xml:space="preserve">Four locations updated (all three day warm-ups plus both mentions inside the Evidence Base note). TIMING: 30-60 min pre-session became 45-60 min. This moves the program CLOSER to the source clinician's own citation, not away from it — Shaw et al. (2017) dosed the 15g protocol one hour pre-loading, and the authors themselves noted the 30-minute end of the window would suit a smaller 5g dose; the 30-minute end was never studied at 15g. CLAIM: the previous wording asserted collagen "increases collagen synthesis markers and, over months, tendon stiffness." That is retired. A January 2026 umbrella review (16 meta-analyses, 113 RCTs, 7,983 participants) found a positive effect on tendon MORPHOLOGY only, at low certainty (4 RCTs, 127 participants), and NO effect on tendon mechanical properties; a separate meta-analysis of 13 RCTs (450 participants) found collagen does not further improve musculoskeletal performance when added to exercise. The acute-synthesis framing overstated the outcome evidence, which matters more than usual here because the client has a tendinopathy and could reasonably read the old wording as "the supplement is fixing the tendon." Collagen is now explicitly ranked below protein and creatine in the supplement hierarchy, and the document states that mechanical loading is the actual intervention. PROTEIN: the absolute 130-175 g/day figure was left visible but is now qualified in-document as assuming an unrecorded body weight, with the g/kg range named as the real prescription — see the open-intake note below.</w:t>
      </w:r>
    </w:p>
    <w:p>
      <w:pPr>
        <w:spacing w:after="100"/>
      </w:pPr>
      <w:r>
        <w:rPr>
          <w:rFonts w:ascii="Arial" w:cs="Arial" w:eastAsia="Arial" w:hAnsi="Arial"/>
          <w:b/>
          <w:bCs/>
          <w:color w:val="C9A227"/>
          <w:sz w:val="17"/>
          <w:szCs w:val="17"/>
        </w:rPr>
        <w:t xml:space="preserve">Block Method Mapping — 8/20/2026 (Clinically-Led Build Record):  </w:t>
      </w:r>
      <w:r>
        <w:rPr>
          <w:rFonts w:ascii="Arial" w:cs="Arial" w:eastAsia="Arial" w:hAnsi="Arial"/>
          <w:color w:val="2C2C2C"/>
          <w:sz w:val="17"/>
          <w:szCs w:val="17"/>
        </w:rPr>
        <w:t xml:space="preserve">This is a CLINICALLY-LED program (QL tendinosis, coordinated with Jason Bethea and the treating physician, rebuilt from a clinician-supplied source program). Per the clinically-led override, the clinician's structure came FIRST and the ICONS session architecture was fitted around it — no exercise was moved, added, or removed to satisfy the architecture except where noted below. Mapping as delivered: Day 1 — A Corrective (glute medius + trunk activation) / B Primary Compound (single-leg hip thrust + goblet squat) / C Accessory (isometric trunk extensor capacity) / D Secondary Compound (supported leg press + flat DB bench) / E Metabolic finisher. Day 2 — A Corrective / B Primary Compound (right-biased unilateral) / C Accessory &amp; Integration (trunk/anti-lateral flexion, containing the unaffected-side suitcase carry) / D Secondary Compound (vertical pull + overhead press) / E Metabolic finisher. Day 3 — A Corrective / B Primary Compound (trap bar deadlift) / C Accessory (power/RFD + first dynamic trunk extension) / D Secondary Compound (press) / E Full-Body Integration (bilateral farmer's carry). SLOT 4 (Jason's exercise) is OMITTED on all three days under the consumed-by-corrective rule: Jason's coordinated input for this client IS the corrective/staging content, which already sits in slot 1 and in the clinician's hold-back list exactly as documented — placing it twice would double-count it, and inserting filler would be worse. SLOT 6 (integration closer) is deliberately OMITTED on Day 1 and served IN PLACE on Day 2 rather than moved: the clinician's tendon-loading ladder (isometric to slow eccentric to controlled concentric to dynamic) stages the first integrated loaded-carry expression on Day 3, and Day 2's single-side carry is deliberately positioned before the pull/press block rather than at the end of a fatigued session. Adding a Day 1 closer, or relocating Day 2's carry to the end, would move ahead of the clinician's staging — precisely what the clinically-led override forbids. Day 3 is the clinician's own integration day and maps cleanly. ONE sequencing change was made, and only there: the bilateral farmer's carry moved from mid-Block-C to the Day 3 closer, with the block intro stating explicitly that the coach may run it in its original position if trunk posture degrades late in the session. Antagonist Rotation walked on the full rendered day for all three days — no three consecutive same-pattern compounds anywhere. One documentation defect cleaned up: Day 3's old Block D carried a duplicate Trap Bar Deadlift row with em-dashes in every numeric column, a stub cross-reference rather than a real prescription; removed, since the full trap bar prescription already lives in Block B.</w:t>
      </w:r>
    </w:p>
    <w:p>
      <w:pPr>
        <w:spacing w:after="100"/>
      </w:pPr>
      <w:r>
        <w:rPr>
          <w:rFonts w:ascii="Arial" w:cs="Arial" w:eastAsia="Arial" w:hAnsi="Arial"/>
          <w:b/>
          <w:bCs/>
          <w:color w:val="C9A227"/>
          <w:sz w:val="17"/>
          <w:szCs w:val="17"/>
        </w:rPr>
        <w:t xml:space="preserve">Deload — Clinician's Week 4 RPE-6 Deload Stands, House Pattern NOT Applied:  </w:t>
      </w:r>
      <w:r>
        <w:rPr>
          <w:rFonts w:ascii="Arial" w:cs="Arial" w:eastAsia="Arial" w:hAnsi="Arial"/>
          <w:color w:val="2C2C2C"/>
          <w:sz w:val="17"/>
          <w:szCs w:val="17"/>
        </w:rPr>
        <w:t xml:space="preserve">This program already carries a planned deload, and it is the clinician's: Week 4 runs at RPE 6 with load reduced roughly 15-20% AHEAD of the reassessment testing, so the retest is performed fresh rather than on accumulated fatigue. The ICONS house pattern places a deload immediately AFTER the Week 4 strength check instead. That difference is deliberate and was NOT reconciled to the house pattern: for a client whose Week 4 event is a force-plate/dynamometer retest whose numbers drive the next phase's clearance decisions (QL-side carries, loaded side-bends), deloading before the test is the clinically correct order, and the clinically-led override governs. Recorded here so a future pass does not mistake it for a missing deload or "fix" it into the house cadence.</w:t>
      </w:r>
    </w:p>
    <w:p>
      <w:pPr>
        <w:spacing w:after="100"/>
      </w:pPr>
      <w:r>
        <w:rPr>
          <w:rFonts w:ascii="Arial" w:cs="Arial" w:eastAsia="Arial" w:hAnsi="Arial"/>
          <w:b/>
          <w:bCs/>
          <w:color w:val="C9A227"/>
          <w:sz w:val="17"/>
          <w:szCs w:val="17"/>
        </w:rPr>
        <w:t xml:space="preserve">Open Intake Items — Single Weigh-In, and Training-Venue Equipment Confirmation:  </w:t>
      </w:r>
      <w:r>
        <w:rPr>
          <w:rFonts w:ascii="Arial" w:cs="Arial" w:eastAsia="Arial" w:hAnsi="Arial"/>
          <w:color w:val="2C2C2C"/>
          <w:sz w:val="17"/>
          <w:szCs w:val="17"/>
        </w:rPr>
        <w:t xml:space="preserve">TWO items to resolve at his next session, neither invented here. (1) WEIGH-IN: this document contains an internal inconsistency inherited from the source program. The scope note above correctly states no weight is on file, yet the Evidence Base note prescribes an absolute protein target of roughly 130-175 g/day — a figure that only makes sense back-calculated from a body weight of about 81 kg at the 1.6-2.2 g/kg range. That weight is not documented anywhere in his record; the absolute grams almost certainly came across with the source PDF. It has NOT been resolved by inventing a weight. A single weigh-in closes it completely: it converts the g/day figure from an inherited assumption into a real g/kg calculation, and it is also the one missing input that would let the Male Client Programming Framework's numeric tools (maleProteinTargets, the 20-39 Foundation bracket reads) actually attach to him. Until then, treat 130-175 g/day as provisional and read the g/kg range as the real prescription. (2) TRAINING VENUE: his schedule line reads "Full Gym," and the source program prescribes a 45-degree leg press, a treadmill, and a weighted dip — none of which appear on the confirmed Brace Life studio equipment inventory (which has a squat rack and Olympic bar, DBs to 60 lbs/hand, KBs to 25 lbs, bench, leg extension, hamstring curl, hyperextension, assisted pull-up machine, Kieser, sled, hex bar, Total Gym, landmine, bike/assault bike/rower, plyo boxes, bands, med balls). Whether he trains in-studio or at an outside commercial gym is not documented. Rather than silently rewriting clinician-prescribed exercise selections, every affected slot now carries a same-pattern option that IS available in-studio (Total Gym or supported machine variation for the leg press; bike or rower for the treadmill; close-grip DB floor press already named as the tracked version of the dip slot), so the program is executable either way. Confirm the venue and this resolves cleanly in one line.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CORRECTIVE — GLUTE MEDIUS &amp;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COMPOUND — SINGLE-LEG HIP THRUST &amp; GOBLET SQUAT</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 If the day calls for a variation, these stay inside the QL rules — squat options: goblet squat (the version we track), box squat to a fixed height, or a heels-elevated goblet squat if ankle range limits depth; hip-thrust options: single-leg hip thrust (tracked), bilateral hip thrust, or a foot-elevated glute bridge. Every option keeps the rib cage stacked over the pelvis with no lateral shift, and none of them add loaded side-bending or single-arm overhead work — the two positions held back this phase.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ACCESSORY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SECONDARY COMPOUND — SUPPORTED LEG PRESS &amp; BENCH PRESS</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The day's second compound pattern, rotating off the squat and hip work above. See the Load &amp; Progression note for weekly RPE targets. No axial spinal loading in this block — the leg press seat and back stay fully supported, which is the whole reason this variation is here rather than a barbell squat. Options that keep that same fully-supported, non-axial requirement: a Total Gym leg press/squat slide, a machine hack-squat variation where the back is supported, or a supported single-leg press one side at a time. Press options: flat dumbbell bench press (tracked), barbell bench press, or a floor press if the shoulder prefers the shorter range. Every option keeps the trunk supported and the spine out of the load path.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METABOLIC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row or bike.</w:t>
      </w:r>
    </w:p>
    <w:p>
      <w:pPr>
        <w:spacing w:after="60" w:before="120"/>
      </w:pPr>
      <w:r>
        <w:rPr>
          <w:rFonts w:ascii="Arial" w:cs="Arial" w:eastAsia="Arial" w:hAnsi="Arial"/>
          <w:b/>
          <w:bCs/>
          <w:color w:val="E53935"/>
          <w:sz w:val="17"/>
          <w:szCs w:val="17"/>
        </w:rPr>
        <w:t xml:space="preserve">A — CORRECTIVE — ACTIVATION &amp; RIGHT-SIDE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COMPOUND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 Same-pattern options if the day calls for one, all right-led and all inside the QL rules — single-leg hinge: single-leg Romanian deadlift (the version we track), staggered-stance RDL with the back toe down, or a rack-supported single-leg RDL with a light hand touch for balance; row: single-arm dumbbell row (tracked), chest-supported row, or a single-arm landmine row; split-stance squat: rear-foot-elevated split squat (tracked), reverse lunge, or a box step-up. None of these add loaded lateral flexion or a suitcase carry on the symptomatic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ACCESSORY &amp; INTEGRATION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SECONDARY COMPOUND — VERTICAL PULL &amp; OVERHEAD PRESS</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The day's second compound pattern — vertical pulling and pressing, rotating off the unilateral lower work above. Slow lat/posterior chain on testing makes the right side the priority on the pull. Vertical pull options: weighted pull-up (tracked), the assisted pull-up machine, a Kieser or lat pulldown, or a band-assisted pull-up. Press options: standing barbell overhead press (tracked), seated dumbbell overhead press if standing lets the low back arch, or a landmine press. Note the phase rule that governs every option here — no heavy single-arm overhead work until the 4-week reassessment clears it, so any press alternate stays bilateral or light.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Kieser or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METABOLIC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work and the closing bilateral carry already provide meaningful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bike.</w:t>
      </w:r>
    </w:p>
    <w:p>
      <w:pPr>
        <w:spacing w:after="60" w:before="120"/>
      </w:pPr>
      <w:r>
        <w:rPr>
          <w:rFonts w:ascii="Arial" w:cs="Arial" w:eastAsia="Arial" w:hAnsi="Arial"/>
          <w:b/>
          <w:bCs/>
          <w:color w:val="E53935"/>
          <w:sz w:val="17"/>
          <w:szCs w:val="17"/>
        </w:rPr>
        <w:t xml:space="preserve">A — CORRECTIVE — ACTIVATION &amp; FIRST DYNAMIC-ADJACENT TRUNK WORK</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COMPOUND — TRAP BAR DEADLIFT</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and the number tracked into the 4-week retest — neutral spine, symmetric setup both feet. Hinge options if the day calls for one, all keeping the load line symmetrical and the spine neutral: elevated-handle or block-height trap bar pulls (shorter range on a stiff day), a rack pull from just below the knee, or a supported hip-hinge machine variation. Conventional and sumo barbell deadlifts are deliberately NOT offered this phase — the trap bar's centred load line is the reason this variation was chosen over a barbell for a symptomatic QL, and swapping it out would defeat that. Step-up options: box step-up (tracked), split squat, or reverse lunge. Row options: bilateral standing row (tracked), chest-supported row, or a seated Kieser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Row (Kieser,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ACCESSORY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bl>
    <w:p>
      <w:pPr>
        <w:spacing w:after="100"/>
      </w:pPr>
    </w:p>
    <w:p>
      <w:pPr>
        <w:spacing w:after="60" w:before="120"/>
      </w:pPr>
      <w:r>
        <w:rPr>
          <w:rFonts w:ascii="Arial" w:cs="Arial" w:eastAsia="Arial" w:hAnsi="Arial"/>
          <w:b/>
          <w:bCs/>
          <w:color w:val="C9A227"/>
          <w:sz w:val="17"/>
          <w:szCs w:val="17"/>
        </w:rPr>
        <w:t xml:space="preserve">D — SECONDARY COMPOUND — PRESS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day's second compound pattern — pressing, rotating off the trap bar and jump work above, and rounding out the week's upper-body pushing volume. The trap bar prescription for this session lives in Block B above and is not repeated here. Press options: close-grip dumbbell floor press (the version we track — shortest, most shoulder-friendly range), flat dumbbell bench press, or a weighted dip where a dip station is available. Full but pain-free range on whichever one runs.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Close-Grip DB Floor Press (or Weighted Dip)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60" w:before="120"/>
      </w:pPr>
      <w:r>
        <w:rPr>
          <w:rFonts w:ascii="Arial" w:cs="Arial" w:eastAsia="Arial" w:hAnsi="Arial"/>
          <w:b/>
          <w:bCs/>
          <w:color w:val="C9A227"/>
          <w:sz w:val="17"/>
          <w:szCs w:val="17"/>
        </w:rPr>
        <w:t xml:space="preserve">E — FULL-BODY INTEGRATION — BILATERAL FARMER'S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and the one place in this phase where loaded carrying is reintroduced — bilateral only, symmetric by design, so nothing pulls the trunk into side-bending. It puts the whole day together at once: the glute medius reliability built in the activation block, the trunk extensor capacity from Days 1-2, and the neutral-spine bracing from the trap bar, all held under load while walking. Load stays moderate and does not run ahead of the trap bar work above. Position is coach-selectable: if trunk posture degrades at the end of the session, run this carry immediately after the primary block instead — the carry itself is the prescription, not its slot in the order. Variations, all bilateral this phase: two-hand dumbbell farmer's carry (the version we track), trap-bar carry, or a front-racked/goblet carry. Single-side suitcase carries on the symptomatic side stay held back until the 4-week reassessment clears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held below the day's trap bar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 Tall ribs, level pelvis, no side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2026-08-20T16:39:11.101Z</dcterms:created>
  <dcterms:modified xsi:type="dcterms:W3CDTF">2026-08-20T16:39:11.112Z</dcterms:modified>
</cp:coreProperties>
</file>

<file path=docProps/custom.xml><?xml version="1.0" encoding="utf-8"?>
<Properties xmlns="http://schemas.openxmlformats.org/officeDocument/2006/custom-properties" xmlns:vt="http://schemas.openxmlformats.org/officeDocument/2006/docPropsVTypes"/>
</file>