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As of 8/18/2026, one demographic fact is confirmed on file: Sarah is female (`client.sex: 'female'`). That confirmation, on its own, does NOT unlock any of CLAUDE.md’s Evidence-Based Science Layer numeric thresholds — ALST sarcopenia cutoffs, protein/creatine tiering, VFA, BMI flags, LIFTMOR bone-loading candidacy, and pelvic floor triggers all also require age and/or weight/Styku scan data, none of which exists for her yet. She remains one level further out than a client who simply falls outside a bracket (e.g. Jake Poyner, Vinz Feller): there is still no demographic/clinical data of any kind beyond sex to place her in a bracket. Per CLAUDE.md’s Demographic Scope Rule, this program continues to apply only the sex-neutral structural philosophy: the Isolated → Compound → Metabolic three-zone build and RIR-based autoregulated progressive overload, both stated in CLAUDE.md as genuinely demographic-neutral principles. `includeNutritionBlock: false`, and `client.weightKg`/`ageYears`/`alstIndex`/`isPostmenopausal` are all left unset rather than fabricated, so `proteinBar()`/`pelvicFloorCallout()` correctly never fire. Revisit this note the moment age, weight, or a Styku scan is ever added to her intake record.</w:t>
      </w:r>
    </w:p>
    <w:p>
      <w:pPr>
        <w:spacing w:after="100"/>
      </w:pPr>
      <w:r>
        <w:rPr>
          <w:rFonts w:ascii="Arial" w:cs="Arial" w:eastAsia="Arial" w:hAnsi="Arial"/>
          <w:b/>
          <w:bCs/>
          <w:color w:val="00695C"/>
          <w:sz w:val="17"/>
          <w:szCs w:val="17"/>
        </w:rPr>
        <w:t xml:space="preserve">Source of Programming Data — Trainer Voice Note, Not a Styku/PARQ Intake:  </w:t>
      </w:r>
      <w:r>
        <w:rPr>
          <w:rFonts w:ascii="Arial" w:cs="Arial" w:eastAsia="Arial" w:hAnsi="Arial"/>
          <w:color w:val="2C2C2C"/>
          <w:sz w:val="17"/>
          <w:szCs w:val="17"/>
        </w:rPr>
        <w:t xml:space="preserve">The constraints and structure behind this build come from a voice note from Nick, one of Sarah’s trainers, who has been training her consistently for the past several sessions — relayed by Xolokan on 8/18/2026. This is real-time trainer/movement feedback, not a formal Styku scan or PAR-Q intake questionnaire; no age, weight, height, or strength-testing numbers exist for her anywhere in this system as of this build. Per this system’s standing rule to read a client’s full existing record before any build: her only prior record was a two-line pre-repo legacy outline (a bench-press/cable-pull/squat+OHP-superset 2-day "Athletic Strength" program, no `clients/sarah/` folder, no build script, nothing in Drive) — that outline is explicitly SUPERSEDED, not merged, by this build, since most of its structure conflicts directly with Nick’s current constraints (bench, cable machine, heavier squat/press loading). Exactly one detail was carried forward, confirmed compatible with the new constraints and a real prior client preference rather than a fabrication: single-arm DB row programmed only in superset, never standalone — see Day A, Block B. Same-day revision, still 8/18/2026: Xolokan separately confirmed Sarah is female and has a full standard home gym (not the minimal placeholder set assumed at first build). Neither fact relaxes Nick’s constraints above — if anything, knowing equipment isn’t the limiting factor makes his exclusions (no cable machine, avoid bench, 20 lb ceiling, limited hip-hinge/squat ROM) read as more deliberate, not less relevant. A kettlebell was added as an equivalent-weight alternate implement on a few movements as a genuine, constraint-compatible variety improvement; kettlebell swings, barbell work, squat-rack-loaded work, and bench work were all considered and rejected as direct conflicts with her stated constraints — see the script header’s "REVISION 8/18/2026" note for the full evaluation.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2026-08-18T15:29:14.548Z</dcterms:created>
  <dcterms:modified xsi:type="dcterms:W3CDTF">2026-08-18T15:29:14.548Z</dcterms:modified>
</cp:coreProperties>
</file>

<file path=docProps/custom.xml><?xml version="1.0" encoding="utf-8"?>
<Properties xmlns="http://schemas.openxmlformats.org/officeDocument/2006/custom-properties" xmlns:vt="http://schemas.openxmlformats.org/officeDocument/2006/docPropsVTypes"/>
</file>