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 — on the landmine or Kieser, which carry load past the 60 lbs/hand dumbbell ceiling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All three days rebuilt onto the standing six-slot session architecture: Corrective -&gt; Primary Compound -&gt; Accessory -&gt; Jason's exercise -&gt; Secondary Compound -&gt; Third Compound (Integration). Slot 4 omitted entirely on all three days — Vinz has no Jason Bethea SOAP-note record and no coordinated-care relationship on file, so the honest action is omission, not filler. Day 3 required no exercise reordering (its combined unilateral block split into Accessory + Secondary Compound, preserving split-squat-before-SL-RDL). Days 1 and 2 each gained one new accessory block built from real content rather than filler: Day 1 machine leg work (leg extension + hamstring curl, both confirmed studio inventory, self-select at 1 RIR — no invented loads), Day 2 a Push-Up Protocol built off his tested 26-rep baseline, which carried an 8-week target in the baselines table but had never been programmed in any day. Antagonist rotation re-walked on the full rendered order across block boundaries: Day 1's accessory deliberately runs leg extension before hamstring curl (the reverse would make Glute Bridge -&gt; Hex Deadlift -&gt; Hamstring Curl three consecutive posterior-chain), and Day 2's corrective block swapped scap push-up and face pull so it no longer ends on a push directly ahead of the incline press and push-up protocol. The 8/15/2026 audit fix (pull-up grip battery must never be adjacent to the single-arm row) is preserved — the overhead press now sits between them in the Day 2 closer.</w:t>
      </w:r>
    </w:p>
    <w:p>
      <w:pPr>
        <w:spacing w:after="100"/>
      </w:pPr>
      <w:r>
        <w:rPr>
          <w:rFonts w:ascii="Arial" w:cs="Arial" w:eastAsia="Arial" w:hAnsi="Arial"/>
          <w:b/>
          <w:bCs/>
          <w:color w:val="00695C"/>
          <w:sz w:val="17"/>
          <w:szCs w:val="17"/>
        </w:rPr>
        <w:t xml:space="preserve">Compound-Slot Options &amp; Intensity Decisions — Selection Record (8/21/2026):  </w:t>
      </w:r>
      <w:r>
        <w:rPr>
          <w:rFonts w:ascii="Arial" w:cs="Arial" w:eastAsia="Arial" w:hAnsi="Arial"/>
          <w:color w:val="2C2C2C"/>
          <w:sz w:val="17"/>
          <w:szCs w:val="17"/>
        </w:rPr>
        <w:t xml:space="preserve">Every compound slot carries a same-pattern options menu in its block intro, with the tested movement named as the progression anchor. Vinz carries no clinical flags, so the filtering constraint on his menus is the confirmed studio inventory rather than a clinical restriction: dumbbells cap at 60 lbs/hand and kettlebells at 25 lbs, so the barbell is named as the destination once his incline press outgrows the dumbbells, the hex bar is named as the carry vehicle past 60 lbs/hand, and the landmine/Kieser carry the single-arm row (whose prescription already exceeded the dumbbell ceiling in Week 1 — corrected in this pass). No option was listed that the inventory does not contain. INTENSITY RE-ANCHOR: Day 2 moved from 90% (Red) to 80% (Gold). Red days are reserved for a documented testing or competition rationale, which he does not have, and the specific 90% figure was 90% of an estimated 1RM (57) derived from a 45 x 8 rep test — the weakest possible basis for a near-maximal prescription. This is a label and RIR change, not a load cut: Week 1 stays 50 lbs and builds to 55 by Week 4, at 2 RIR rather than 1. Week now runs 80/80/70 plus the planned Week 5 deload; near-maximal work is confined to the Week 4 strength check, where it has a real rationale.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70–75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2026-08-21T15:17:07.498Z</dcterms:created>
  <dcterms:modified xsi:type="dcterms:W3CDTF">2026-08-21T15:17:07.499Z</dcterms:modified>
</cp:coreProperties>
</file>

<file path=docProps/custom.xml><?xml version="1.0" encoding="utf-8"?>
<Properties xmlns="http://schemas.openxmlformats.org/officeDocument/2006/custom-properties" xmlns:vt="http://schemas.openxmlformats.org/officeDocument/2006/docPropsVTypes"/>
</file>