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the VFA trend figure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 a mid-range figure tracked as a personal trend, not assigned a risk band) and ALST (6.32 kg/m², within normal reference range) don't support an elevated cardiometabolic read on their own, and Lean Mass carries the positive "Ideal Lean Mass" flag noted above. The full picture is a healthy profile, not one driven by any single number in isolation.</w:t>
      </w:r>
    </w:p>
    <w:p>
      <w:pPr>
        <w:spacing w:after="100"/>
      </w:pPr>
      <w:r>
        <w:rPr>
          <w:rFonts w:ascii="Arial" w:cs="Arial" w:eastAsia="Arial" w:hAnsi="Arial"/>
          <w:b/>
          <w:bCs/>
          <w:color w:val="00695C"/>
          <w:sz w:val="17"/>
          <w:szCs w:val="17"/>
        </w:rPr>
        <w:t xml:space="preserve">VFA 82.7 cm² — Tracked as a Trend:  </w:t>
      </w:r>
      <w:r>
        <w:rPr>
          <w:rFonts w:ascii="Arial" w:cs="Arial" w:eastAsia="Arial" w:hAnsi="Arial"/>
          <w:color w:val="2C2C2C"/>
          <w:sz w:val="17"/>
          <w:szCs w:val="17"/>
        </w:rPr>
        <w:t xml:space="preserve">Presented as a personal trend figure to follow scan over scan rather than assigned a risk band: no consensus body endorses a single visceral-fat cutoff, published thresholds vary widely across studies, and this scanner's visceral-fat output was validated against DXA in kilograms rather than CT in cm² — so the absolute number carries real individual-level uncertainty. Waist circumference, measured to protocol, is the primary clinical-facing metric going forward; add it at the next scan and track the two together.</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the left leg reads as the lighter/weaker side on this scan and leads every unilateral lower-body exercise across this program; reps/loads are logged per side. Arms: Left 8.4 lbs / Right 8.5 lbs — a difference small enough to read as routine scan-to-scan variation, so arms are tracked as monitoring only with no formal unilateral-lead requirement.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Creatine is strongly indicated by age alone regardless of ALST status. Protein moves up within the 1.6–2.2 g/kg range for a genuine energy deficit, heavy training load, or ALST At-Risk status — not for age or bracket alone (her ALST, 6.32 kg/m², is within normal reference range, not At-Risk). Bone-loading candidacy (LIFTMOR-style, T-score dependent) is worth screening for as she moves through this window even though nothing on the current scan indicates low bone mass.</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With two brand-new lift baselines being established and a shoulder trained deliberately conservatively, this is how the program consolidates the strength built in Weeks 1-4 before Weeks 6-8 rebuild from the Week 4 loads toward the 8-week retest and rescan. One light week costs nothing that matters: muscle built over the previous month is not lost in a single reduced-volume week — only a small edge of peak strength dips, and it returns within days of resuming.</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~22g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COMPOUND — GOBLET SQUAT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the squat. Today's deliberately light load becomes the new baseline — the goal is a clean, repeatable pattern, not maximal weight. If the day calls for a variation while the pattern is still being established, both options stay in the same technique band: a box squat (depth set by the box) or a supported split-stance squat holding a rail (left leg leads). The goblet squat stays the lift we track — its working load is the number that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ACCESSORY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 Placed between today's two main lifts, this work also gives the legs a controlled breather before the hinge pattern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SECONDARY COMPOUND — TRAP BAR DEADLIFT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hinge, rotating off the squat work above. No baseline was recorded for the deadlift; today's deliberately light load becomes the new baseline. If a variation is needed while the pattern is established, both options stay in the same technique band: a trap bar pull from low blocks (shortened range) or a light double-DB Romanian deadlift. The trap bar lift stays the one we track — its working load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FARMERS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that puts today's two brand-new lift patterns to work as one integrated movement: the hinge to pick the weights up, the braced, tall posture of the squat work, carried under gait. Loads stay deliberately below her tested 30 lbs/hand carry baseline — this closes a technique day with quality movement, not extra load. Distance and movement quality govern this work, not an effort target. A goblet carry (one DB held at the chest) covers the same ground with an upright-posture bias if it suits the day better.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Tall posture, ribs down,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COMPOUND — SEATED OVERHEAD PRESS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Seated overhead press tested at 15 lbs x8 (Epley 1RM ≈19 lbs). Given the frozen shoulder history, Week 1 trains conservatively below baseline (12.5 lbs) and progresses only as far as pain-free range allows, reaching 17.5 lbs by Week 4. If the day calls for a press variation, rotate between: a landmine press (a friendlier, angled arc when the fully vertical line isn't comfortable) or a half-kneeling single-arm DB press (light, one side at a time). Every option lives inside the same rule as the press itself — pain-free range only, sharp or pinching pain ends the set — and the seated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INCLINE PUSH-UP</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pressing accessory directly behind the overhead work — a controlled, non-overhead range that builds pushing volume while staying well clear of the shoulder's sensitive arc.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D — SECONDARY COMPOUND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The day's second compound territory — pulling, rotating off the pressing work above. Rowing volume balances the pressing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 If the row needs a variation: a chest-supported DB row (torso fully supported) or a single-arm Kieser row covers the same pattern; the bent-over row stays the one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E — FULL-BODY INTEGRATION — FARMERS CARRY (PACKED SHOULDERS)</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loaded carry that puts today's shoulder work to use in the position it is strongest and safest: shoulders packed down and back, arms locked at the sides, load carried under a tall, braced posture. This directly reinforces the shoulder-care priority in a closed, neutral position — nothing travels overhead. Loads stay below her tested 30 lbs/hand carry baseline. Distance and movement quality govern this work, not an effort target. A goblet carry (one DB at the chest) is the alternate if it suits the day better; no overhead carry variation is used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down and back, tall posture,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 segmental lean mass reads lighter on the left (16.8 vs 18.2 lbs), so the left side sets the working load and the right matches it.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COMPOUND — DB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built on her strongest tested number. Hip Thrust tested at 55 lbs x8 (Epley 1RM ≈70 lbs); Week 1 trains at 55 lbs, climbing to 60 lbs by Week 4. If the day calls for a variation, rotate between: a floor glute bridge (the simplest regression), a B-stance hip thrust (left leg takes the working share), or a single-leg glute bridge (left leg leads). The bench-supported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SINGLE-LEG RDL (LEFT-LED)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directly behind the hip thrust — same posterior chain, worked one leg at a time with the left leading.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LUNGE (LEFT-LED)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day's second compound pattern — knee-dominant lunging, rotating off the hip-extension work above. Lunge tested at 15 lbs/hand x8 (Epley 1RM ≈19 lbs) — Week 1 trains at 12.5 lbs/hand, climbing to 17.5 lbs/hand by Week 4, left leg leading. If the lunge needs a variation: a DB step-up (left leg leads) or a static split squat covers the same knee-dominant territory; the reverse lunge stays the lift we track.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carry pulls the day's hip-extension strength into upright, braced gait at her full tested working load (30 lbs/hand), building the deep spinal stabilizer strength that supports posture under all the compound lifts above. Distance and movement quality govern the carry, not an effort target. If a variation suits the day: a suitcase carry (one side at a time, alternating sides evenly — her arms read effectively even on the scan, so no side leads) or a front-rack carry (upright-posture bias).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the left leg lighter by 1.4 lbs (16.8 vs 18.2 lbs), the largest segmental difference on her scan.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 Week 4 closes with the strength check (the standing 4-week reassessment); Week 5 that follows is the planned deload week — same movements, sets reduced,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strength is reassessed on the standing 4-week cadence (the Week 4 check, then the Week 8 retest at the end of the rebuild), while the Styku body-composition rescan books at 8 weeks — landing at the end of the Weeks 6–8 rebuild that follows the planned Week 5 deload, so the scan reads a consolidated block. Track: ALST Index trend (currently 6.32 kg/m², within normal reference range), VFA (currently 82.7 cm² — track the direction of travel rather than a risk band, and pair it with a waist-circumference measurement at the next scan), left/right leg LST gap (baseline 1.4 lbs, ≈8% relative — track the percentage narrowing, not just the raw pounds),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2026-08-19T15:26:54.937Z</dcterms:created>
  <dcterms:modified xsi:type="dcterms:W3CDTF">2026-08-19T15:26:54.937Z</dcterms:modified>
</cp:coreProperties>
</file>

<file path=docProps/custom.xml><?xml version="1.0" encoding="utf-8"?>
<Properties xmlns="http://schemas.openxmlformats.org/officeDocument/2006/custom-properties" xmlns:vt="http://schemas.openxmlformats.org/officeDocument/2006/docPropsVTypes"/>
</file>