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Strength is re-checked every 4 weeks against the program's Week 4 targets; the full body-composition rescan runs on its own longer 8–12 week cycle.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baseline to track from here, first re-checked at the 4-week strength reassessment.</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Two Clocks</w:t>
            </w:r>
          </w:p>
          <w:p>
            <w:r>
              <w:rPr>
                <w:rFonts w:ascii="Arial" w:cs="Arial" w:eastAsia="Arial" w:hAnsi="Arial"/>
                <w:color w:val="D8D2C6"/>
                <w:sz w:val="14"/>
                <w:szCs w:val="14"/>
              </w:rPr>
              <w:t xml:space="preserve">Strength (ICONS Index) is re-checked every 4 weeks against the program's Week 4 targets; the Styku body-composition rescan runs on its own 8–12 week cycle and tracks the segmental gaps noted above. The two are tracked separately, not on the same clock.</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 Skaug KL, Engh ME, Bø K, "Acute Effect of Heavy Weightlifting on the Pelvic Floor Muscles in Strength-Trained Women: An Experimental Crossover Study," Medicine &amp; Science in Sports &amp; Exercise 2024;56(1):37-43, found pelvic-floor-muscle strength was not significantly correlated with whole-body squat/deadlift strength in strength-trained women.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2026-08-19T15:21:14.966Z</dcterms:created>
  <dcterms:modified xsi:type="dcterms:W3CDTF">2026-08-19T15:21:14.966Z</dcterms:modified>
</cp:coreProperties>
</file>

<file path=docProps/custom.xml><?xml version="1.0" encoding="utf-8"?>
<Properties xmlns="http://schemas.openxmlformats.org/officeDocument/2006/custom-properties" xmlns:vt="http://schemas.openxmlformats.org/officeDocument/2006/docPropsVTypes"/>
</file>