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it doesn't transfer to a 25-year-old male client. This program instead uses the age/sex-appropriate research above. What does carry over from ICONS: the Isolated → Compound → Metabolic structural philosophy and RPE/RIR-based autoregulated progressive overload — both are demographic-neutral principles, applied here on their own merits.</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2026-08-11T21:56:54.898Z</dcterms:created>
  <dcterms:modified xsi:type="dcterms:W3CDTF">2026-08-11T21:56:54.899Z</dcterms:modified>
</cp:coreProperties>
</file>

<file path=docProps/custom.xml><?xml version="1.0" encoding="utf-8"?>
<Properties xmlns="http://schemas.openxmlformats.org/officeDocument/2006/custom-properties" xmlns:vt="http://schemas.openxmlformats.org/officeDocument/2006/docPropsVTypes"/>
</file>