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and for Vinz Feller's 7.55 kg/m² reading);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a genuinely different situation from Vinz Feller's document, where Styku's "Average" peer-comparison label diverged from an ACE "Obese" reading.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assisted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2026-08-11T21:56:53.970Z</dcterms:created>
  <dcterms:modified xsi:type="dcterms:W3CDTF">2026-08-11T21:56:53.988Z</dcterms:modified>
</cp:coreProperties>
</file>

<file path=docProps/custom.xml><?xml version="1.0" encoding="utf-8"?>
<Properties xmlns="http://schemas.openxmlformats.org/officeDocument/2006/custom-properties" xmlns:vt="http://schemas.openxmlformats.org/officeDocument/2006/docPropsVTypes"/>
</file>