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Optimal — 7.23 kg/m²:  </w:t>
      </w:r>
      <w:r>
        <w:rPr>
          <w:rFonts w:ascii="Arial" w:cs="Arial" w:eastAsia="Arial" w:hAnsi="Arial"/>
          <w:color w:val="2C2C2C"/>
          <w:sz w:val="17"/>
          <w:szCs w:val="17"/>
        </w:rPr>
        <w:t xml:space="preserve">Above the 7.0 kg/m² EWGSOP2 optimal threshold.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Moderate Cardiometabolic Risk:  </w:t>
      </w:r>
      <w:r>
        <w:rPr>
          <w:rFonts w:ascii="Arial" w:cs="Arial" w:eastAsia="Arial" w:hAnsi="Arial"/>
          <w:color w:val="2C2C2C"/>
          <w:sz w:val="17"/>
          <w:szCs w:val="17"/>
        </w:rPr>
        <w:t xml:space="preserve">Falls in the 100–149 cm² moderate-risk band. Drives the metabolic finisher on every training day — brisk, sustainable conditioning, not max-effort testing.</w:t>
      </w:r>
    </w:p>
    <w:p>
      <w:pPr>
        <w:spacing w:after="100"/>
      </w:pPr>
      <w:r>
        <w:rPr>
          <w:rFonts w:ascii="Arial" w:cs="Arial" w:eastAsia="Arial" w:hAnsi="Arial"/>
          <w:b/>
          <w:bCs/>
          <w:color w:val="E65100"/>
          <w:sz w:val="17"/>
          <w:szCs w:val="17"/>
        </w:rPr>
        <w:t xml:space="preserve">Body Fat 40.4% At-Risk:  </w:t>
      </w:r>
      <w:r>
        <w:rPr>
          <w:rFonts w:ascii="Arial" w:cs="Arial" w:eastAsia="Arial" w:hAnsi="Arial"/>
          <w:color w:val="2C2C2C"/>
          <w:sz w:val="17"/>
          <w:szCs w:val="17"/>
        </w:rPr>
        <w:t xml:space="preserve">Tracked alongside VFA as the cardiometabolic/fat-loss priority for this block. Reassess at the 8-week Styku rescan.</w:t>
      </w:r>
    </w:p>
    <w:p>
      <w:pPr>
        <w:spacing w:after="100"/>
      </w:pPr>
      <w:r>
        <w:rPr>
          <w:rFonts w:ascii="Arial" w:cs="Arial" w:eastAsia="Arial" w:hAnsi="Arial"/>
          <w:b/>
          <w:bCs/>
          <w:color w:val="00695C"/>
          <w:sz w:val="17"/>
          <w:szCs w:val="17"/>
        </w:rPr>
        <w:t xml:space="preserve">Left Leg Asymmetry — 17.5 vs 18.0 lbs LST:  </w:t>
      </w:r>
      <w:r>
        <w:rPr>
          <w:rFonts w:ascii="Arial" w:cs="Arial" w:eastAsia="Arial" w:hAnsi="Arial"/>
          <w:color w:val="2C2C2C"/>
          <w:sz w:val="17"/>
          <w:szCs w:val="17"/>
        </w:rPr>
        <w:t xml:space="preserve">Gap of 0.5 lbs meets the asymmetry protocol trigger. LEFT leg leads every unilateral lower-body exercise. Log left vs. right loads separately.</w:t>
      </w:r>
    </w:p>
    <w:p>
      <w:pPr>
        <w:spacing w:after="100"/>
      </w:pPr>
      <w:r>
        <w:rPr>
          <w:rFonts w:ascii="Arial" w:cs="Arial" w:eastAsia="Arial" w:hAnsi="Arial"/>
          <w:b/>
          <w:bCs/>
          <w:color w:val="00695C"/>
          <w:sz w:val="17"/>
          <w:szCs w:val="17"/>
        </w:rPr>
        <w:t xml:space="preserve">Right Arm — 8.4 vs 8.7 lbs LST (Monitor Only):  </w:t>
      </w:r>
      <w:r>
        <w:rPr>
          <w:rFonts w:ascii="Arial" w:cs="Arial" w:eastAsia="Arial" w:hAnsi="Arial"/>
          <w:color w:val="2C2C2C"/>
          <w:sz w:val="17"/>
          <w:szCs w:val="17"/>
        </w:rPr>
        <w:t xml:space="preserve">Gap of 0.3 lbs sits below the 0.5 lb asymmetry-protocol threshold. Logged per side on single-arm row and suitcase carry as routine monitoring, not a formal lead-side prescription.</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Protein and creatine targets already reflect the 2.0–2.2 g/kg "50+" tier (resolved automatically once age crosses 50), and creatine is strongly indicated by age and postmenopausal status alike.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already optimal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Styku segmental LST shows a 0.5 lb deficit (17.5 vs 18.0 lbs), exactly at the asymmetry protocol trigger.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Styku scan shows a 0.5 lb left-leg deficit (L 17.5 / R 18.0) — at the asymmetry trigger threshold. Left leg leads every set below;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deficit on Styku (0.3 lb gap — below the formal 0.5 lb trigger, tracked as routine monitoring).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though below the formal asymmetry trigger.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LST gap reduced from 0.5 lbs.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(baseline 0.5 lb), right arm LST gap (baseline 0.3 lb, monitor for trigger), ALST maintenance (currently optimal at 7.23 kg/m²).</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2026-08-17T19:52:11.282Z</dcterms:created>
  <dcterms:modified xsi:type="dcterms:W3CDTF">2026-08-17T19:52:11.283Z</dcterms:modified>
</cp:coreProperties>
</file>

<file path=docProps/custom.xml><?xml version="1.0" encoding="utf-8"?>
<Properties xmlns="http://schemas.openxmlformats.org/officeDocument/2006/custom-properties" xmlns:vt="http://schemas.openxmlformats.org/officeDocument/2006/docPropsVTypes"/>
</file>