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(60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(17.5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20 lbs × 8 (Day 2 Block B) — becomes the new 8-week baseline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Trap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45 lbs × 6 (Day 2 Block B) — becomes the new 8-week baseline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51, Johanna sits in the 45–55 age bracket, confirmed postmenopausal. Protein and creatine targets already reflect the 2.0–2.2 g/kg "50+" tier (resolved automatically once age crosses 50), and creatine is strongly indicated by age and postmenopausal status alike. LIFTMOR-style bone-loading candidacy screening (T-score &lt; -1.0) is worth introducing as part of ongoing care as estrogen decline accelerates through this window — framed as "bone investment," not added risk —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2026-08-17T19:52:11.445Z</dcterms:created>
  <dcterms:modified xsi:type="dcterms:W3CDTF">2026-08-17T19:52:11.445Z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