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5240"/>
        <w:gridCol w:w="2600"/>
      </w:tblGrid>
      <w:tr>
        <w:tc>
          <w:tcPr>
            <w:tcW w:type="dxa" w:w="2600"/>
            <w:tcBorders>
              <w:top w:val="none" w:color="FFFFFF" w:sz="0"/>
              <w:left w:val="none" w:color="FFFFFF" w:sz="0"/>
              <w:bottom w:val="none" w:color="FFFFFF" w:sz="0"/>
              <w:right w:val="none" w:color="FFFFFF" w:sz="0"/>
            </w:tcBorders>
            <w:shd w:fill="1B1815" w:color="auto" w:val="clear"/>
            <w:tcMar>
              <w:top w:type="dxa" w:w="160"/>
              <w:left w:type="dxa" w:w="120"/>
              <w:bottom w:type="dxa" w:w="40"/>
              <w:right w:type="dxa" w:w="40"/>
            </w:tcMar>
            <w:vAlign w:val="top"/>
          </w:tcPr>
          <w:p>
            <w:r>
              <w:rPr>
                <w:rFonts w:ascii="Arial" w:cs="Arial" w:eastAsia="Arial" w:hAnsi="Arial"/>
                <w:b/>
                <w:bCs/>
                <w:color w:val="C9A227"/>
                <w:spacing w:val="10"/>
                <w:sz w:val="15"/>
                <w:szCs w:val="15"/>
              </w:rPr>
              <w:t xml:space="preserve">BRACE LIFE STUDIOS</w:t>
            </w:r>
          </w:p>
          <w:p>
            <w:r>
              <w:rPr>
                <w:rFonts w:ascii="Arial" w:cs="Arial" w:eastAsia="Arial" w:hAnsi="Arial"/>
                <w:color w:val="6B6B6B"/>
                <w:sz w:val="11"/>
                <w:szCs w:val="11"/>
              </w:rPr>
              <w:t xml:space="preserve">bracelifestudios.com</w:t>
            </w:r>
          </w:p>
        </w:tc>
        <w:tc>
          <w:tcPr>
            <w:tcW w:type="dxa" w:w="524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c>
          <w:tcPr>
            <w:tcW w:type="dxa" w:w="2600"/>
            <w:tcBorders>
              <w:top w:val="none" w:color="FFFFFF" w:sz="0"/>
              <w:left w:val="none" w:color="FFFFFF" w:sz="0"/>
              <w:bottom w:val="none" w:color="FFFFFF" w:sz="0"/>
              <w:right w:val="none" w:color="FFFFFF" w:sz="0"/>
            </w:tcBorders>
            <w:shd w:fill="1B1815" w:color="auto" w:val="clear"/>
            <w:tcMar>
              <w:top w:type="dxa" w:w="160"/>
              <w:left w:type="dxa" w:w="40"/>
              <w:bottom w:type="dxa" w:w="40"/>
              <w:right w:type="dxa" w:w="120"/>
            </w:tcMar>
            <w:vAlign w:val="top"/>
          </w:tcPr>
          <w:p>
            <w:pPr>
              <w:jc w:val="right"/>
            </w:pPr>
            <w:r>
              <w:rPr>
                <w:rFonts w:ascii="Arial" w:cs="Arial" w:eastAsia="Arial" w:hAnsi="Arial"/>
                <w:b/>
                <w:bCs/>
                <w:color w:val="1B1815"/>
                <w:sz w:val="13"/>
                <w:szCs w:val="13"/>
                <w:shd w:fill="C9A227" w:color="auto" w:val="clear"/>
              </w:rPr>
              <w:t xml:space="preserve">  INITIAL BASELINE  </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before="40"/>
              <w:jc w:val="center"/>
            </w:pPr>
            <w:r>
              <w:rPr>
                <w:rFonts w:ascii="Arial" w:cs="Arial" w:eastAsia="Arial" w:hAnsi="Arial"/>
                <w:b/>
                <w:bCs/>
                <w:color w:val="C9A227"/>
                <w:spacing w:val="20"/>
                <w:sz w:val="15"/>
                <w:szCs w:val="15"/>
              </w:rPr>
              <w:t xml:space="preserve">ICONS PERFORMANCE ASSESSMENT</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after="40" w:before="60"/>
              <w:jc w:val="center"/>
            </w:pPr>
            <w:r>
              <w:rPr>
                <w:rFonts w:ascii="Arial" w:cs="Arial" w:eastAsia="Arial" w:hAnsi="Arial"/>
                <w:b/>
                <w:bCs/>
                <w:color w:val="FFFFFF"/>
                <w:spacing w:val="10"/>
                <w:sz w:val="34"/>
                <w:szCs w:val="34"/>
              </w:rPr>
              <w:t xml:space="preserve">RENA PAUL</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after="160"/>
              <w:jc w:val="center"/>
            </w:pPr>
            <w:r>
              <w:rPr>
                <w:rFonts w:ascii="Arial" w:cs="Arial" w:eastAsia="Arial" w:hAnsi="Arial"/>
                <w:color w:val="D8D2C6"/>
                <w:sz w:val="14"/>
                <w:szCs w:val="14"/>
              </w:rPr>
              <w:t xml:space="preserve">Assessment Date: 8/8/2026   |   Location: Brace Life Studios</w:t>
            </w:r>
          </w:p>
        </w:tc>
      </w:tr>
    </w:tbl>
    <w:p>
      <w:pPr>
        <w:spacing w:after="140"/>
      </w:pPr>
    </w:p>
    <w:p>
      <w:pPr>
        <w:pBdr>
          <w:bottom w:val="single" w:color="C9A227" w:sz="4" w:space="2"/>
        </w:pBdr>
        <w:spacing w:after="80" w:before="120"/>
      </w:pPr>
      <w:r>
        <w:rPr>
          <w:rFonts w:ascii="Arial" w:cs="Arial" w:eastAsia="Arial" w:hAnsi="Arial"/>
          <w:b/>
          <w:bCs/>
          <w:color w:val="C9A227"/>
          <w:sz w:val="17"/>
          <w:szCs w:val="17"/>
        </w:rPr>
        <w:t xml:space="preserve">What This Assessment Measures</w:t>
      </w:r>
    </w:p>
    <w:p>
      <w:pPr>
        <w:spacing w:after="140"/>
      </w:pPr>
      <w:r>
        <w:rPr>
          <w:rFonts w:ascii="Arial" w:cs="Arial" w:eastAsia="Arial" w:hAnsi="Arial"/>
          <w:color w:val="2C2C2C"/>
          <w:sz w:val="15"/>
          <w:szCs w:val="15"/>
        </w:rPr>
        <w:t xml:space="preserve">The ICONS Index is a comprehensive strength and longevity assessment designed for women 40+ and 50+. It measures and tracks strength, movement quality, body composition, and overall fitness over time. This baseline establishes where you are today and provides a roadmap for measurable improvement. Metrics drawn from the 3D body scanner and strength testing are explained in plain language below, with a short note on how each should and shouldn't be read — see the methodology box on the final page for details.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AESTHETICS</w:t>
            </w:r>
          </w:p>
          <w:p>
            <w:pPr>
              <w:jc w:val="center"/>
            </w:pPr>
            <w:r>
              <w:rPr>
                <w:rFonts w:ascii="Arial" w:cs="Arial" w:eastAsia="Arial" w:hAnsi="Arial"/>
                <w:color w:val="D8D2C6"/>
                <w:sz w:val="12"/>
                <w:szCs w:val="12"/>
              </w:rPr>
              <w:t xml:space="preserve">Shape, tone &amp; symmetry goals</w:t>
            </w:r>
          </w:p>
        </w:tc>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HEALTH</w:t>
            </w:r>
          </w:p>
          <w:p>
            <w:pPr>
              <w:jc w:val="center"/>
            </w:pPr>
            <w:r>
              <w:rPr>
                <w:rFonts w:ascii="Arial" w:cs="Arial" w:eastAsia="Arial" w:hAnsi="Arial"/>
                <w:color w:val="D8D2C6"/>
                <w:sz w:val="12"/>
                <w:szCs w:val="12"/>
              </w:rPr>
              <w:t xml:space="preserve">Strength, posture &amp; joint integrity</w:t>
            </w:r>
          </w:p>
        </w:tc>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BIOLOGICAL AGE</w:t>
            </w:r>
          </w:p>
          <w:p>
            <w:pPr>
              <w:jc w:val="center"/>
            </w:pPr>
            <w:r>
              <w:rPr>
                <w:rFonts w:ascii="Arial" w:cs="Arial" w:eastAsia="Arial" w:hAnsi="Arial"/>
                <w:color w:val="D8D2C6"/>
                <w:sz w:val="12"/>
                <w:szCs w:val="12"/>
              </w:rPr>
              <w:t xml:space="preserve">Longevity, independence &amp; vitality</w:t>
            </w:r>
          </w:p>
        </w:tc>
      </w:tr>
    </w:tbl>
    <w:p>
      <w:pPr>
        <w:spacing w:after="60"/>
      </w:pPr>
    </w:p>
    <w:p>
      <w:pPr>
        <w:spacing w:after="140"/>
      </w:pPr>
      <w:r>
        <w:rPr>
          <w:rFonts w:ascii="Arial" w:cs="Arial" w:eastAsia="Arial" w:hAnsi="Arial"/>
          <w:i/>
          <w:iCs/>
          <w:color w:val="6B6B6B"/>
          <w:sz w:val="13"/>
          <w:szCs w:val="13"/>
        </w:rPr>
        <w:t xml:space="preserve">"Biological Age" here is a coaching framework built from strength, mobility, and body-composition trends over time — not a lab-measured biological age test (such as an epigenetic clock).</w:t>
      </w:r>
    </w:p>
    <w:p>
      <w:pPr>
        <w:pBdr>
          <w:bottom w:val="single" w:color="C9A227" w:sz="4" w:space="2"/>
        </w:pBdr>
        <w:spacing w:after="80" w:before="120"/>
      </w:pPr>
      <w:r>
        <w:rPr>
          <w:rFonts w:ascii="Arial" w:cs="Arial" w:eastAsia="Arial" w:hAnsi="Arial"/>
          <w:b/>
          <w:bCs/>
          <w:color w:val="C9A227"/>
          <w:sz w:val="17"/>
          <w:szCs w:val="17"/>
        </w:rPr>
        <w:t xml:space="preserve">Styku Body Composition Scan</w:t>
      </w:r>
    </w:p>
    <w:p>
      <w:pPr>
        <w:spacing w:after="100"/>
      </w:pPr>
      <w:r>
        <w:rPr>
          <w:rFonts w:ascii="Arial" w:cs="Arial" w:eastAsia="Arial" w:hAnsi="Arial"/>
          <w:i/>
          <w:iCs/>
          <w:color w:val="6B6B6B"/>
          <w:sz w:val="13"/>
          <w:szCs w:val="13"/>
        </w:rPr>
        <w:t xml:space="preserve">Scanned: 8/8/2026   |   Brace Life Studios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10"/>
        <w:gridCol w:w="2610"/>
        <w:gridCol w:w="2610"/>
        <w:gridCol w:w="2610"/>
      </w:tblGrid>
      <w:tr>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27%</w:t>
            </w:r>
          </w:p>
          <w:p>
            <w:pPr>
              <w:jc w:val="center"/>
            </w:pPr>
            <w:r>
              <w:rPr>
                <w:rFonts w:ascii="Arial" w:cs="Arial" w:eastAsia="Arial" w:hAnsi="Arial"/>
                <w:b/>
                <w:bCs/>
                <w:color w:val="6B6B6B"/>
                <w:spacing w:val="6"/>
                <w:sz w:val="12"/>
                <w:szCs w:val="12"/>
              </w:rPr>
              <w:t xml:space="preserve">BODY FAT %</w:t>
            </w:r>
          </w:p>
          <w:p>
            <w:pPr>
              <w:spacing w:before="10"/>
              <w:jc w:val="center"/>
            </w:pPr>
            <w:r>
              <w:rPr>
                <w:rFonts w:ascii="Arial" w:cs="Arial" w:eastAsia="Arial" w:hAnsi="Arial"/>
                <w:color w:val="6B6B6B"/>
                <w:sz w:val="11"/>
                <w:szCs w:val="11"/>
              </w:rPr>
              <w:t xml:space="preserve">Rank: Fit</w:t>
            </w:r>
            <w:r>
              <w:rPr>
                <w:rFonts w:ascii="Arial" w:cs="Arial" w:eastAsia="Arial" w:hAnsi="Arial"/>
                <w:b/>
                <w:bCs/>
                <w:color w:val="6B6B6B"/>
                <w:sz w:val="12"/>
                <w:szCs w:val="12"/>
                <w:vertAlign w:val="superscript"/>
              </w:rPr>
              <w:t xml:space="preserve"> [1]</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80.1 lbs</w:t>
            </w:r>
          </w:p>
          <w:p>
            <w:pPr>
              <w:jc w:val="center"/>
            </w:pPr>
            <w:r>
              <w:rPr>
                <w:rFonts w:ascii="Arial" w:cs="Arial" w:eastAsia="Arial" w:hAnsi="Arial"/>
                <w:b/>
                <w:bCs/>
                <w:color w:val="6B6B6B"/>
                <w:spacing w:val="6"/>
                <w:sz w:val="12"/>
                <w:szCs w:val="12"/>
              </w:rPr>
              <w:t xml:space="preserve">LEAN MASS</w:t>
            </w:r>
          </w:p>
          <w:p>
            <w:pPr>
              <w:spacing w:before="10"/>
              <w:jc w:val="center"/>
            </w:pPr>
            <w:r>
              <w:rPr>
                <w:rFonts w:ascii="Arial" w:cs="Arial" w:eastAsia="Arial" w:hAnsi="Arial"/>
                <w:color w:val="6B6B6B"/>
                <w:sz w:val="11"/>
                <w:szCs w:val="11"/>
              </w:rPr>
              <w:t xml:space="preserve">69.3% of total</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31.2 lbs</w:t>
            </w:r>
          </w:p>
          <w:p>
            <w:pPr>
              <w:jc w:val="center"/>
            </w:pPr>
            <w:r>
              <w:rPr>
                <w:rFonts w:ascii="Arial" w:cs="Arial" w:eastAsia="Arial" w:hAnsi="Arial"/>
                <w:b/>
                <w:bCs/>
                <w:color w:val="6B6B6B"/>
                <w:spacing w:val="6"/>
                <w:sz w:val="12"/>
                <w:szCs w:val="12"/>
              </w:rPr>
              <w:t xml:space="preserve">FAT MASS</w:t>
            </w:r>
          </w:p>
          <w:p>
            <w:pPr>
              <w:spacing w:before="10"/>
              <w:jc w:val="center"/>
            </w:pPr>
            <w:r>
              <w:rPr>
                <w:rFonts w:ascii="Arial" w:cs="Arial" w:eastAsia="Arial" w:hAnsi="Arial"/>
                <w:color w:val="6B6B6B"/>
                <w:sz w:val="11"/>
                <w:szCs w:val="11"/>
              </w:rPr>
              <w:t xml:space="preserve">26.9% of total</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4.3 lbs</w:t>
            </w:r>
          </w:p>
          <w:p>
            <w:pPr>
              <w:jc w:val="center"/>
            </w:pPr>
            <w:r>
              <w:rPr>
                <w:rFonts w:ascii="Arial" w:cs="Arial" w:eastAsia="Arial" w:hAnsi="Arial"/>
                <w:b/>
                <w:bCs/>
                <w:color w:val="6B6B6B"/>
                <w:spacing w:val="6"/>
                <w:sz w:val="12"/>
                <w:szCs w:val="12"/>
              </w:rPr>
              <w:t xml:space="preserve">BONE MASS</w:t>
            </w:r>
          </w:p>
          <w:p>
            <w:pPr>
              <w:spacing w:before="10"/>
              <w:jc w:val="center"/>
            </w:pPr>
            <w:r>
              <w:rPr>
                <w:rFonts w:ascii="Arial" w:cs="Arial" w:eastAsia="Arial" w:hAnsi="Arial"/>
                <w:color w:val="6B6B6B"/>
                <w:sz w:val="11"/>
                <w:szCs w:val="11"/>
              </w:rPr>
              <w:t xml:space="preserve">3.7% of total</w:t>
            </w:r>
          </w:p>
        </w:tc>
      </w:tr>
      <w:tr>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20.5</w:t>
            </w:r>
          </w:p>
          <w:p>
            <w:pPr>
              <w:jc w:val="center"/>
            </w:pPr>
            <w:r>
              <w:rPr>
                <w:rFonts w:ascii="Arial" w:cs="Arial" w:eastAsia="Arial" w:hAnsi="Arial"/>
                <w:b/>
                <w:bCs/>
                <w:color w:val="6B6B6B"/>
                <w:spacing w:val="6"/>
                <w:sz w:val="12"/>
                <w:szCs w:val="12"/>
              </w:rPr>
              <w:t xml:space="preserve">BMI</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1233 cal/day</w:t>
            </w:r>
          </w:p>
          <w:p>
            <w:pPr>
              <w:jc w:val="center"/>
            </w:pPr>
            <w:r>
              <w:rPr>
                <w:rFonts w:ascii="Arial" w:cs="Arial" w:eastAsia="Arial" w:hAnsi="Arial"/>
                <w:b/>
                <w:bCs/>
                <w:color w:val="6B6B6B"/>
                <w:spacing w:val="6"/>
                <w:sz w:val="12"/>
                <w:szCs w:val="12"/>
              </w:rPr>
              <w:t xml:space="preserve">BMR</w:t>
            </w:r>
            <w:r>
              <w:rPr>
                <w:rFonts w:ascii="Arial" w:cs="Arial" w:eastAsia="Arial" w:hAnsi="Arial"/>
                <w:b/>
                <w:bCs/>
                <w:color w:val="6B6B6B"/>
                <w:sz w:val="12"/>
                <w:szCs w:val="12"/>
                <w:vertAlign w:val="superscript"/>
              </w:rPr>
              <w:t xml:space="preserve"> [2]</w:t>
            </w:r>
          </w:p>
          <w:p>
            <w:pPr>
              <w:spacing w:before="10"/>
              <w:jc w:val="center"/>
            </w:pPr>
            <w:r>
              <w:rPr>
                <w:rFonts w:ascii="Arial" w:cs="Arial" w:eastAsia="Arial" w:hAnsi="Arial"/>
                <w:color w:val="6B6B6B"/>
                <w:sz w:val="11"/>
                <w:szCs w:val="11"/>
              </w:rPr>
              <w:t xml:space="preserve">Revised Harris-Benedict estimate</w:t>
            </w:r>
          </w:p>
        </w:tc>
        <w:tc>
          <w:tcPr>
            <w:tcW w:type="dxa" w:w="2610"/>
            <w:tcBorders>
              <w:top w:val="none" w:color="FFFFFF" w:sz="0"/>
              <w:left w:val="none" w:color="FFFFFF" w:sz="0"/>
              <w:bottom w:val="none" w:color="FFFFFF" w:sz="0"/>
              <w:right w:val="none" w:color="FFFFFF" w:sz="0"/>
            </w:tcBorders>
            <w:shd w:fill="1B1815" w:color="auto" w:val="clear"/>
            <w:tcMar>
              <w:top w:type="dxa" w:w="140"/>
              <w:left w:type="dxa" w:w="60"/>
              <w:bottom w:type="dxa" w:w="140"/>
              <w:right w:type="dxa" w:w="60"/>
            </w:tcMar>
            <w:vAlign w:val="center"/>
          </w:tcPr>
          <w:p>
            <w:pPr>
              <w:spacing w:after="20"/>
              <w:jc w:val="center"/>
            </w:pPr>
            <w:r>
              <w:rPr>
                <w:rFonts w:ascii="Arial" w:cs="Arial" w:eastAsia="Arial" w:hAnsi="Arial"/>
                <w:b/>
                <w:bCs/>
                <w:color w:val="C9A227"/>
                <w:sz w:val="24"/>
                <w:szCs w:val="24"/>
              </w:rPr>
              <w:t xml:space="preserve">92/100</w:t>
            </w:r>
          </w:p>
          <w:p>
            <w:pPr>
              <w:jc w:val="center"/>
            </w:pPr>
            <w:r>
              <w:rPr>
                <w:rFonts w:ascii="Arial" w:cs="Arial" w:eastAsia="Arial" w:hAnsi="Arial"/>
                <w:b/>
                <w:bCs/>
                <w:color w:val="D8D2C6"/>
                <w:spacing w:val="6"/>
                <w:sz w:val="12"/>
                <w:szCs w:val="12"/>
              </w:rPr>
              <w:t xml:space="preserve">SHAPE SCORE</w:t>
            </w:r>
            <w:r>
              <w:rPr>
                <w:rFonts w:ascii="Arial" w:cs="Arial" w:eastAsia="Arial" w:hAnsi="Arial"/>
                <w:b/>
                <w:bCs/>
                <w:color w:val="D8D2C6"/>
                <w:sz w:val="12"/>
                <w:szCs w:val="12"/>
                <w:vertAlign w:val="superscript"/>
              </w:rPr>
              <w:t xml:space="preserve"> [3]</w:t>
            </w:r>
          </w:p>
          <w:p>
            <w:pPr>
              <w:spacing w:before="10"/>
              <w:jc w:val="center"/>
            </w:pPr>
            <w:r>
              <w:rPr>
                <w:rFonts w:ascii="Arial" w:cs="Arial" w:eastAsia="Arial" w:hAnsi="Arial"/>
                <w:color w:val="D8D2C6"/>
                <w:sz w:val="11"/>
                <w:szCs w:val="11"/>
              </w:rPr>
              <w:t xml:space="preserve">Excellent</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26.3 cm²</w:t>
            </w:r>
          </w:p>
          <w:p>
            <w:pPr>
              <w:jc w:val="center"/>
            </w:pPr>
            <w:r>
              <w:rPr>
                <w:rFonts w:ascii="Arial" w:cs="Arial" w:eastAsia="Arial" w:hAnsi="Arial"/>
                <w:b/>
                <w:bCs/>
                <w:color w:val="6B6B6B"/>
                <w:spacing w:val="6"/>
                <w:sz w:val="12"/>
                <w:szCs w:val="12"/>
              </w:rPr>
              <w:t xml:space="preserve">VISCERAL FAT AREA</w:t>
            </w:r>
            <w:r>
              <w:rPr>
                <w:rFonts w:ascii="Arial" w:cs="Arial" w:eastAsia="Arial" w:hAnsi="Arial"/>
                <w:b/>
                <w:bCs/>
                <w:color w:val="6B6B6B"/>
                <w:sz w:val="12"/>
                <w:szCs w:val="12"/>
                <w:vertAlign w:val="superscript"/>
              </w:rPr>
              <w:t xml:space="preserve"> [4]</w:t>
            </w:r>
          </w:p>
          <w:p>
            <w:pPr>
              <w:spacing w:before="10"/>
              <w:jc w:val="center"/>
            </w:pPr>
            <w:r>
              <w:rPr>
                <w:rFonts w:ascii="Arial" w:cs="Arial" w:eastAsia="Arial" w:hAnsi="Arial"/>
                <w:color w:val="6B6B6B"/>
                <w:sz w:val="11"/>
                <w:szCs w:val="11"/>
              </w:rPr>
              <w:t xml:space="preserve">Very Low</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5B7A52" w:color="auto" w:val="clear"/>
            <w:tcMar>
              <w:top w:type="dxa" w:w="140"/>
              <w:left w:type="dxa" w:w="200"/>
              <w:bottom w:type="dxa" w:w="140"/>
              <w:right w:type="dxa" w:w="200"/>
            </w:tcMar>
            <w:vAlign w:val="center"/>
          </w:tcPr>
          <w:p>
            <w:pPr>
              <w:spacing w:after="60"/>
            </w:pPr>
            <w:r>
              <w:rPr>
                <w:rFonts w:ascii="Arial" w:cs="Arial" w:eastAsia="Arial" w:hAnsi="Arial"/>
                <w:b/>
                <w:bCs/>
                <w:color w:val="FFFFFF"/>
                <w:sz w:val="14"/>
                <w:szCs w:val="14"/>
              </w:rPr>
              <w:t xml:space="preserve">Reference-Group Comparison  [5]</w:t>
            </w:r>
          </w:p>
          <w:p>
            <w:r>
              <w:rPr>
                <w:rFonts w:ascii="Arial" w:cs="Arial" w:eastAsia="Arial" w:hAnsi="Arial"/>
                <w:color w:val="F0EEE6"/>
                <w:sz w:val="14"/>
                <w:szCs w:val="14"/>
              </w:rPr>
              <w:t xml:space="preserve">Rena's body fat % is more favorable than the Styku reference group's median for women of a similar age — lower body fat than 70% of her peers in Styku's own comparison sample. This reference group is Styku's own norm sample, not a nationally representative population — see note [5] below.</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Segmental Lean Mass Distribution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EDE7DA"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Left Arm</w:t>
            </w:r>
            <w:r>
              <w:rPr>
                <w:rFonts w:ascii="Arial" w:cs="Arial" w:eastAsia="Arial" w:hAnsi="Arial"/>
                <w:sz w:val="14"/>
                <w:szCs w:val="14"/>
              </w:rPr>
              <w:t xml:space="preserve">     </w:t>
            </w:r>
            <w:r>
              <w:rPr>
                <w:rFonts w:ascii="Arial" w:cs="Arial" w:eastAsia="Arial" w:hAnsi="Arial"/>
                <w:b/>
                <w:bCs/>
                <w:color w:val="2C2C2C"/>
                <w:sz w:val="15"/>
                <w:szCs w:val="15"/>
              </w:rPr>
              <w:t xml:space="preserve">6.3 lbs</w:t>
            </w:r>
          </w:p>
        </w:tc>
        <w:tc>
          <w:tcPr>
            <w:tcW w:type="dxa" w:w="5220"/>
            <w:tcBorders>
              <w:top w:val="none" w:color="FFFFFF" w:sz="0"/>
              <w:left w:val="none" w:color="FFFFFF" w:sz="0"/>
              <w:bottom w:val="none" w:color="FFFFFF" w:sz="0"/>
              <w:right w:val="none" w:color="FFFFFF" w:sz="0"/>
            </w:tcBorders>
            <w:shd w:fill="EDE7DA"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Right Arm</w:t>
            </w:r>
            <w:r>
              <w:rPr>
                <w:rFonts w:ascii="Arial" w:cs="Arial" w:eastAsia="Arial" w:hAnsi="Arial"/>
                <w:sz w:val="14"/>
                <w:szCs w:val="14"/>
              </w:rPr>
              <w:t xml:space="preserve">     </w:t>
            </w:r>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Left Leg</w:t>
            </w:r>
            <w:r>
              <w:rPr>
                <w:rFonts w:ascii="Arial" w:cs="Arial" w:eastAsia="Arial" w:hAnsi="Arial"/>
                <w:sz w:val="14"/>
                <w:szCs w:val="14"/>
              </w:rPr>
              <w:t xml:space="preserve">     </w:t>
            </w:r>
            <w:r>
              <w:rPr>
                <w:rFonts w:ascii="Arial" w:cs="Arial" w:eastAsia="Arial" w:hAnsi="Arial"/>
                <w:b/>
                <w:bCs/>
                <w:color w:val="2C2C2C"/>
                <w:sz w:val="15"/>
                <w:szCs w:val="15"/>
              </w:rPr>
              <w:t xml:space="preserve">13.3 lbs</w:t>
            </w:r>
          </w:p>
        </w:tc>
        <w:tc>
          <w:tcPr>
            <w:tcW w:type="dxa" w:w="5220"/>
            <w:tcBorders>
              <w:top w:val="none" w:color="FFFFFF" w:sz="0"/>
              <w:left w:val="none" w:color="FFFFFF" w:sz="0"/>
              <w:bottom w:val="none" w:color="FFFFFF" w:sz="0"/>
              <w:right w:val="none" w:color="FFFFFF" w:sz="0"/>
            </w:tcBorders>
            <w:shd w:fill="FFFFFF"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Right Leg</w:t>
            </w:r>
            <w:r>
              <w:rPr>
                <w:rFonts w:ascii="Arial" w:cs="Arial" w:eastAsia="Arial" w:hAnsi="Arial"/>
                <w:sz w:val="14"/>
                <w:szCs w:val="14"/>
              </w:rPr>
              <w:t xml:space="preserve">     </w:t>
            </w:r>
            <w:r>
              <w:rPr>
                <w:rFonts w:ascii="Arial" w:cs="Arial" w:eastAsia="Arial" w:hAnsi="Arial"/>
                <w:b/>
                <w:bCs/>
                <w:color w:val="2C2C2C"/>
                <w:sz w:val="15"/>
                <w:szCs w:val="15"/>
              </w:rPr>
              <w:t xml:space="preserve">13.7 lbs</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3DBC7" w:color="auto" w:val="clear"/>
            <w:tcMar>
              <w:top w:type="dxa" w:w="90"/>
              <w:left w:type="dxa" w:w="160"/>
              <w:bottom w:type="dxa" w:w="90"/>
              <w:right w:type="dxa" w:w="160"/>
            </w:tcMar>
            <w:vAlign w:val="center"/>
          </w:tcPr>
          <w:p>
            <w:pPr>
              <w:tabs>
                <w:tab w:val="right" w:pos="10200"/>
              </w:tabs>
            </w:pPr>
            <w:r>
              <w:rPr>
                <w:rFonts w:ascii="Arial" w:cs="Arial" w:eastAsia="Arial" w:hAnsi="Arial"/>
                <w:color w:val="6B6B6B"/>
                <w:sz w:val="14"/>
                <w:szCs w:val="14"/>
              </w:rPr>
              <w:t xml:space="preserve">Appendicular LST Index</w:t>
            </w:r>
            <w:r>
              <w:rPr>
                <w:rFonts w:ascii="Arial" w:cs="Arial" w:eastAsia="Arial" w:hAnsi="Arial"/>
                <w:b/>
                <w:bCs/>
                <w:color w:val="6B6B6B"/>
                <w:sz w:val="12"/>
                <w:szCs w:val="12"/>
                <w:vertAlign w:val="superscript"/>
              </w:rPr>
              <w:t xml:space="preserve"> [6]</w:t>
            </w:r>
            <w:r>
              <w:rPr>
                <w:rFonts w:ascii="Arial" w:cs="Arial" w:eastAsia="Arial" w:hAnsi="Arial"/>
                <w:sz w:val="14"/>
                <w:szCs w:val="14"/>
              </w:rPr>
              <w:t xml:space="preserve">	</w:t>
            </w:r>
            <w:r>
              <w:rPr>
                <w:rFonts w:ascii="Arial" w:cs="Arial" w:eastAsia="Arial" w:hAnsi="Arial"/>
                <w:b/>
                <w:bCs/>
                <w:color w:val="2C2C2C"/>
                <w:sz w:val="15"/>
                <w:szCs w:val="15"/>
              </w:rPr>
              <w:t xml:space="preserve">5.94 kg/m² — Within Normal Reference Range for Women</w:t>
            </w:r>
          </w:p>
        </w:tc>
      </w:tr>
    </w:tbl>
    <w:p>
      <w:pPr>
        <w:spacing w:after="100"/>
      </w:pPr>
    </w:p>
    <w:p>
      <w:pPr>
        <w:spacing w:after="100"/>
      </w:pPr>
      <w:r>
        <w:rPr>
          <w:rFonts w:ascii="Arial" w:cs="Arial" w:eastAsia="Arial" w:hAnsi="Arial"/>
          <w:color w:val="6B6B6B"/>
          <w:sz w:val="13"/>
          <w:szCs w:val="13"/>
        </w:rPr>
        <w:t xml:space="preserve">A left/right arm lean-mass difference of about 2% was observed (L 6.3 vs R 6.4 lbs), and a left/right leg difference of about 3% (L 13.3 vs R 13.7 lbs, right-dominant). Both fall well under the range research associates with meaningful strength asymmetry (commonly flagged at 10–15%+), so no unilateral-lead protocol is triggered from this scan alone — tracked as routine monitoring and confirmed again at the next rescan.</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ICONS INDEX — STRENGTH ASSESSMENT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8/8/2026  |  Brace Life Studios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ICONS Protocol</w:t>
            </w:r>
          </w:p>
          <w:p>
            <w:r>
              <w:rPr>
                <w:rFonts w:ascii="Arial" w:cs="Arial" w:eastAsia="Arial" w:hAnsi="Arial"/>
                <w:color w:val="2C2C2C"/>
                <w:sz w:val="16"/>
                <w:szCs w:val="16"/>
              </w:rPr>
              <w:t xml:space="preserve">ICONS Protocol: 10 core movements + 1 bonus, assessed on weight lifted, reps, and movement quality. Reassessed every 8–12 weeks. Benchmarks: Aesthetics · Health · Biological Age | Mobility &amp; flexibility assessed as part of the longevity factor.</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Assessment Results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00"/>
        <w:gridCol w:w="2600"/>
        <w:gridCol w:w="1200"/>
        <w:gridCol w:w="900"/>
        <w:gridCol w:w="900"/>
        <w:gridCol w:w="1500"/>
        <w:gridCol w:w="2840"/>
      </w:tblGrid>
      <w:tr>
        <w:tc>
          <w:tcPr>
            <w:tcW w:type="dxa" w:w="5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w:t>
            </w:r>
          </w:p>
        </w:tc>
        <w:tc>
          <w:tcPr>
            <w:tcW w:type="dxa" w:w="26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left"/>
            </w:pPr>
            <w:r>
              <w:rPr>
                <w:rFonts w:ascii="Arial" w:cs="Arial" w:eastAsia="Arial" w:hAnsi="Arial"/>
                <w:b/>
                <w:bCs/>
                <w:color w:val="C9A227"/>
                <w:sz w:val="14"/>
                <w:szCs w:val="14"/>
              </w:rPr>
              <w:t xml:space="preserve">EXERCISE</w:t>
            </w:r>
          </w:p>
        </w:tc>
        <w:tc>
          <w:tcPr>
            <w:tcW w:type="dxa" w:w="12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WEIGHT</w:t>
            </w:r>
          </w:p>
        </w:tc>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REPS</w:t>
            </w:r>
          </w:p>
        </w:tc>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 BW</w:t>
            </w:r>
            <w:r>
              <w:rPr>
                <w:rFonts w:ascii="Arial" w:cs="Arial" w:eastAsia="Arial" w:hAnsi="Arial"/>
                <w:b/>
                <w:bCs/>
                <w:color w:val="C9A227"/>
                <w:sz w:val="12"/>
                <w:szCs w:val="12"/>
                <w:vertAlign w:val="superscript"/>
              </w:rPr>
              <w:t xml:space="preserve"> [7]</w:t>
            </w:r>
          </w:p>
        </w:tc>
        <w:tc>
          <w:tcPr>
            <w:tcW w:type="dxa" w:w="15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LEVEL</w:t>
            </w:r>
            <w:r>
              <w:rPr>
                <w:rFonts w:ascii="Arial" w:cs="Arial" w:eastAsia="Arial" w:hAnsi="Arial"/>
                <w:b/>
                <w:bCs/>
                <w:color w:val="C9A227"/>
                <w:sz w:val="12"/>
                <w:szCs w:val="12"/>
                <w:vertAlign w:val="superscript"/>
              </w:rPr>
              <w:t xml:space="preserve"> [7]</w:t>
            </w:r>
          </w:p>
        </w:tc>
        <w:tc>
          <w:tcPr>
            <w:tcW w:type="dxa" w:w="284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left"/>
            </w:pPr>
            <w:r>
              <w:rPr>
                <w:rFonts w:ascii="Arial" w:cs="Arial" w:eastAsia="Arial" w:hAnsi="Arial"/>
                <w:b/>
                <w:bCs/>
                <w:color w:val="C9A227"/>
                <w:sz w:val="14"/>
                <w:szCs w:val="14"/>
              </w:rPr>
              <w:t xml:space="preserve">NOTES / FLAGS</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Deadlift (Hex or BB)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85 lbs</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baseline — well above typical new-client starting loads.</w:t>
            </w:r>
          </w:p>
        </w:tc>
      </w:tr>
      <w:tr>
        <w:tc>
          <w:tcPr>
            <w:tcW w:type="dxa" w:w="5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2</w:t>
            </w:r>
          </w:p>
        </w:tc>
        <w:tc>
          <w:tcPr>
            <w:tcW w:type="dxa" w:w="26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r>
              <w:rPr>
                <w:rFonts w:ascii="Arial" w:cs="Arial" w:eastAsia="Arial" w:hAnsi="Arial"/>
                <w:b/>
                <w:bCs/>
                <w:color w:val="6B6B6B"/>
                <w:sz w:val="16"/>
                <w:szCs w:val="16"/>
              </w:rPr>
              <w:t xml:space="preserve">Back Squat</w:t>
            </w:r>
          </w:p>
        </w:tc>
        <w:tc>
          <w:tcPr>
            <w:tcW w:type="dxa" w:w="12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9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9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15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284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Not tested today — Goblet Squat established as new working baseline this program.</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3</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Overhead Press (Seated DB)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15 lbs/hand</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8B6F3E" w:color="auto" w:val="clear"/>
              </w:rPr>
              <w:t xml:space="preserve">  Novice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4</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Incline Dumbbell Press</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20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8B6F3E" w:color="auto" w:val="clear"/>
              </w:rPr>
              <w:t xml:space="preserve">  Novice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Push-Ups (Incline)</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10</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bridge toward full floor push-ups.</w:t>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6</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Farmers Carry (DB, Both Hands)</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30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4×25–30 yd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Loaded carry — assessed on distance/load, not %BW.</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Hip Thrust</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85 lbs</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posterior chain — matches deadlift baseline.</w:t>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Single-Leg RDL (DB)</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25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22%</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No imbalance observed — equal L/R sets.</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9</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Lunges (DB)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25 lbs/hand</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22%</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10</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Plank Hold</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1565C0" w:color="auto" w:val="clear"/>
              </w:rPr>
              <w:t xml:space="preserve">  Advanced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Exceptional — well above the 60-second ICONS threshold.</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Pull-Ups (Bonus, Assisted — All Grips)</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Assist level set</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 ea grip</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Close/standard/wide grip, 5 reps each — strong pulling foundation.</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How to Read [7] % BW and Level</w:t>
            </w:r>
          </w:p>
          <w:p>
            <w:r>
              <w:rPr>
                <w:rFonts w:ascii="Arial" w:cs="Arial" w:eastAsia="Arial" w:hAnsi="Arial"/>
                <w:color w:val="2C2C2C"/>
                <w:sz w:val="16"/>
                <w:szCs w:val="16"/>
              </w:rPr>
              <w:t xml:space="preserve">% Body Weight and Level reflect the working sets shown above — not a tested 1-rep max (1RM). Level (Novice/Intermediate/Advanced) is your coach's estimate, combining an ExRx 1RM-based reference table with a visual assessment of movement quality. Treat it as a training-history indicator, not a precise percentile ranking.</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WHAT EACH LIFT MEANS FOR RENA PAUL</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pBdr>
          <w:bottom w:val="single" w:color="C9A227" w:sz="4" w:space="2"/>
        </w:pBdr>
        <w:spacing w:after="80" w:before="120"/>
      </w:pPr>
      <w:r>
        <w:rPr>
          <w:rFonts w:ascii="Arial" w:cs="Arial" w:eastAsia="Arial" w:hAnsi="Arial"/>
          <w:b/>
          <w:bCs/>
          <w:color w:val="C9A227"/>
          <w:sz w:val="17"/>
          <w:szCs w:val="17"/>
        </w:rPr>
        <w:t xml:space="preserve">Exercise Benefit Breakdown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Deadlift (Hex or BB)</w:t>
            </w:r>
            <w:r>
              <w:rPr>
                <w:rFonts w:ascii="Arial" w:cs="Arial" w:eastAsia="Arial" w:hAnsi="Arial"/>
                <w:sz w:val="14"/>
                <w:szCs w:val="14"/>
              </w:rPr>
              <w:t xml:space="preserve">	</w:t>
            </w:r>
            <w:r>
              <w:rPr>
                <w:rFonts w:ascii="Arial" w:cs="Arial" w:eastAsia="Arial" w:hAnsi="Arial"/>
                <w:color w:val="6B6B6B"/>
                <w:sz w:val="13"/>
                <w:szCs w:val="13"/>
              </w:rPr>
              <w:t xml:space="preserve">85 lbs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Strengthens the posterior chain — glutes, hamstrings, and back — building a lifted, firm lower-body line.</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Builds core and spinal stability under load and reinforces the hip-hinge pattern that protects the low back in everyday lifting.</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A bone-loading movement associated with maintained or improved bone mineral density in women 40+ — a meaningful input to long-term bone health, not a guarantee for any one person (a single assessment cannot confirm individual osteoporosis-risk reduction; that requires a bone-density scan).</w:t>
            </w:r>
            <w:r>
              <w:rPr>
                <w:rFonts w:ascii="Arial" w:cs="Arial" w:eastAsia="Arial" w:hAnsi="Arial"/>
                <w:b/>
                <w:bCs/>
                <w:color w:val="2C2C2C"/>
                <w:sz w:val="12"/>
                <w:szCs w:val="12"/>
                <w:vertAlign w:val="superscript"/>
              </w:rPr>
              <w:t xml:space="preserve"> [8]</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Overhead Press (Seated DB)</w:t>
            </w:r>
            <w:r>
              <w:rPr>
                <w:rFonts w:ascii="Arial" w:cs="Arial" w:eastAsia="Arial" w:hAnsi="Arial"/>
                <w:sz w:val="14"/>
                <w:szCs w:val="14"/>
              </w:rPr>
              <w:t xml:space="preserve">	</w:t>
            </w:r>
            <w:r>
              <w:rPr>
                <w:rFonts w:ascii="Arial" w:cs="Arial" w:eastAsia="Arial" w:hAnsi="Arial"/>
                <w:color w:val="6B6B6B"/>
                <w:sz w:val="13"/>
                <w:szCs w:val="13"/>
              </w:rPr>
              <w:t xml:space="preserve">15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Defines and shapes the shoulders, arms, and upper chest.</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shoulders and shoulder stabilizers, supporting upright posture indirectly through improved upper-back and shoulder-girdle strength.</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Supports the overhead reaching strength daily life quietly depends on — a top shelf, a suitcase into an overhead bin, a grandchild lifted overhead.</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Incline Dumbbell Press</w:t>
            </w:r>
            <w:r>
              <w:rPr>
                <w:rFonts w:ascii="Arial" w:cs="Arial" w:eastAsia="Arial" w:hAnsi="Arial"/>
                <w:sz w:val="14"/>
                <w:szCs w:val="14"/>
              </w:rPr>
              <w:t xml:space="preserve">	</w:t>
            </w:r>
            <w:r>
              <w:rPr>
                <w:rFonts w:ascii="Arial" w:cs="Arial" w:eastAsia="Arial" w:hAnsi="Arial"/>
                <w:color w:val="6B6B6B"/>
                <w:sz w:val="13"/>
                <w:szCs w:val="13"/>
              </w:rPr>
              <w:t xml:space="preserve">20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Enhances chest and upper-body shape and firms the front of the shoulder.</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chest and shoulder complex and reinforces shoulder-joint stability through a controlled pressing range.</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Helps maintain upper-body pushing strength for longevity — carrying, pushing open a heavy door, catching a fall.</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Push-Ups (Incline)</w:t>
            </w:r>
            <w:r>
              <w:rPr>
                <w:rFonts w:ascii="Arial" w:cs="Arial" w:eastAsia="Arial" w:hAnsi="Arial"/>
                <w:sz w:val="14"/>
                <w:szCs w:val="14"/>
              </w:rPr>
              <w:t xml:space="preserve">	</w:t>
            </w:r>
            <w:r>
              <w:rPr>
                <w:rFonts w:ascii="Arial" w:cs="Arial" w:eastAsia="Arial" w:hAnsi="Arial"/>
                <w:color w:val="6B6B6B"/>
                <w:sz w:val="13"/>
                <w:szCs w:val="13"/>
              </w:rPr>
              <w:t xml:space="preserve">Bodyweight · 10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Develops lean, defined arms, chest, and shoulders using bodyweight alone.</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Engages the core to stabilize the spine through the movement — core-engaging bodyweight work like this is associated with reduced lower-back complaints.</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the functional upper-body pressing strength everyday tasks — getting up off the floor, pushing a heavy cart — quietly depend on.</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Farmers Carry (DB, Both Hands)</w:t>
            </w:r>
            <w:r>
              <w:rPr>
                <w:rFonts w:ascii="Arial" w:cs="Arial" w:eastAsia="Arial" w:hAnsi="Arial"/>
                <w:sz w:val="14"/>
                <w:szCs w:val="14"/>
              </w:rPr>
              <w:t xml:space="preserve">	</w:t>
            </w:r>
            <w:r>
              <w:rPr>
                <w:rFonts w:ascii="Arial" w:cs="Arial" w:eastAsia="Arial" w:hAnsi="Arial"/>
                <w:color w:val="6B6B6B"/>
                <w:sz w:val="13"/>
                <w:szCs w:val="13"/>
              </w:rPr>
              <w:t xml:space="preserve">30 lbs/hand · 4 sets, 25–30 yds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Builds a tight, upright carriage and grip/forearm definition.</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Trains the deep spinal stabilizers (multifidus, quadratus lumborum) and grip strength under load, supporting posture through every other lift in the program.</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Grip strength and loaded-carry capacity are both independently associated with functional independence and fall resilience in older adults.</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Hip Thrust</w:t>
            </w:r>
            <w:r>
              <w:rPr>
                <w:rFonts w:ascii="Arial" w:cs="Arial" w:eastAsia="Arial" w:hAnsi="Arial"/>
                <w:sz w:val="14"/>
                <w:szCs w:val="14"/>
              </w:rPr>
              <w:t xml:space="preserve">	</w:t>
            </w:r>
            <w:r>
              <w:rPr>
                <w:rFonts w:ascii="Arial" w:cs="Arial" w:eastAsia="Arial" w:hAnsi="Arial"/>
                <w:color w:val="6B6B6B"/>
                <w:sz w:val="13"/>
                <w:szCs w:val="13"/>
              </w:rPr>
              <w:t xml:space="preserve">85 lbs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Lifts and shapes the glutes for a firm, rounded look.</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Reduces low-back strain by strengthening the glutes and posterior chain, and co-activates the deep core and pelvic floor. (co-activation is not the same as pelvic-floor strengthening — targeted pelvic-floor training, not heavy compound lifting alone, is what builds pelvic-floor strength.)</w:t>
            </w:r>
            <w:r>
              <w:rPr>
                <w:rFonts w:ascii="Arial" w:cs="Arial" w:eastAsia="Arial" w:hAnsi="Arial"/>
                <w:b/>
                <w:bCs/>
                <w:color w:val="2C2C2C"/>
                <w:sz w:val="12"/>
                <w:szCs w:val="12"/>
                <w:vertAlign w:val="superscript"/>
              </w:rPr>
              <w:t xml:space="preserve"> [9]</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hip mobility and helps offset age-related muscle loss in one of the body's largest, most power-relevant muscle groups.</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WHAT EACH LIFT MEANS FOR RENA PAUL (CONT.)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pBdr>
          <w:bottom w:val="single" w:color="C9A227" w:sz="4" w:space="2"/>
        </w:pBdr>
        <w:spacing w:after="80" w:before="120"/>
      </w:pPr>
      <w:r>
        <w:rPr>
          <w:rFonts w:ascii="Arial" w:cs="Arial" w:eastAsia="Arial" w:hAnsi="Arial"/>
          <w:b/>
          <w:bCs/>
          <w:color w:val="C9A227"/>
          <w:sz w:val="17"/>
          <w:szCs w:val="17"/>
        </w:rPr>
        <w:t xml:space="preserve">Exercise Benefit Breakdown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Single-Leg RDL (DB)</w:t>
            </w:r>
            <w:r>
              <w:rPr>
                <w:rFonts w:ascii="Arial" w:cs="Arial" w:eastAsia="Arial" w:hAnsi="Arial"/>
                <w:sz w:val="14"/>
                <w:szCs w:val="14"/>
              </w:rPr>
              <w:t xml:space="preserve">	</w:t>
            </w:r>
            <w:r>
              <w:rPr>
                <w:rFonts w:ascii="Arial" w:cs="Arial" w:eastAsia="Arial" w:hAnsi="Arial"/>
                <w:color w:val="6B6B6B"/>
                <w:sz w:val="13"/>
                <w:szCs w:val="13"/>
              </w:rPr>
              <w:t xml:space="preserve">25 lbs/hand · 8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Tones and elongates the hamstrings and glutes while improving balance and symmetry.</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Enhances coordination and strengthens the stabilizing muscles around the hip, knee, and ankle on each side independently.</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Single-leg control is directly linked to fall risk — this movement trains exactly the balance-under-load quality that protects functional independence with age.</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Lunges (DB)</w:t>
            </w:r>
            <w:r>
              <w:rPr>
                <w:rFonts w:ascii="Arial" w:cs="Arial" w:eastAsia="Arial" w:hAnsi="Arial"/>
                <w:sz w:val="14"/>
                <w:szCs w:val="14"/>
              </w:rPr>
              <w:t xml:space="preserve">	</w:t>
            </w:r>
            <w:r>
              <w:rPr>
                <w:rFonts w:ascii="Arial" w:cs="Arial" w:eastAsia="Arial" w:hAnsi="Arial"/>
                <w:color w:val="6B6B6B"/>
                <w:sz w:val="13"/>
                <w:szCs w:val="13"/>
              </w:rPr>
              <w:t xml:space="preserve">25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Shapes the legs and glutes while improving left/right symmetry.</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Improves knee and hip stability through a unilateral, functional loading pattern.</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the lower-body strength that walking, stair climbing, and getting in and out of a car depend on.</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Plank Hold</w:t>
            </w:r>
            <w:r>
              <w:rPr>
                <w:rFonts w:ascii="Arial" w:cs="Arial" w:eastAsia="Arial" w:hAnsi="Arial"/>
                <w:sz w:val="14"/>
                <w:szCs w:val="14"/>
              </w:rPr>
              <w:t xml:space="preserve">	</w:t>
            </w:r>
            <w:r>
              <w:rPr>
                <w:rFonts w:ascii="Arial" w:cs="Arial" w:eastAsia="Arial" w:hAnsi="Arial"/>
                <w:color w:val="6B6B6B"/>
                <w:sz w:val="13"/>
                <w:szCs w:val="13"/>
              </w:rPr>
              <w:t xml:space="preserve">Bodyweight · 2:00 min</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Tightens the waistline and improves visible core strength and control.</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entire core, supporting reduced back pain and improved posture under everyday load.</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Supports spinal alignment and postural endurance — the ability to hold good posture through a full day, not just a single lift.</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Pull-Ups (Bonus, Assisted)</w:t>
            </w:r>
            <w:r>
              <w:rPr>
                <w:rFonts w:ascii="Arial" w:cs="Arial" w:eastAsia="Arial" w:hAnsi="Arial"/>
                <w:sz w:val="14"/>
                <w:szCs w:val="14"/>
              </w:rPr>
              <w:t xml:space="preserve">	</w:t>
            </w:r>
            <w:r>
              <w:rPr>
                <w:rFonts w:ascii="Arial" w:cs="Arial" w:eastAsia="Arial" w:hAnsi="Arial"/>
                <w:color w:val="6B6B6B"/>
                <w:sz w:val="13"/>
                <w:szCs w:val="13"/>
              </w:rPr>
              <w:t xml:space="preserve">5 reps · close/standard/wide grip</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Builds a defined back and shoulder line — the "V-taper" most upper-body aesthetic goals point toward.</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lats, upper back, and grip, balancing the pressing volume that dominates most upper-body programs.</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Relative bodyweight pulling strength is a strong, simple marker of overall upper-body strength reserve as training years accumulate.</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BODY MEASUREMENTS &amp; NEXT STEPS</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8/8/2026  |  Brace Life Studios</w:t>
      </w:r>
    </w:p>
    <w:p>
      <w:pPr>
        <w:pBdr>
          <w:bottom w:val="single" w:color="C9A227" w:sz="4" w:space="2"/>
        </w:pBdr>
        <w:spacing w:after="80" w:before="120"/>
      </w:pPr>
      <w:r>
        <w:rPr>
          <w:rFonts w:ascii="Arial" w:cs="Arial" w:eastAsia="Arial" w:hAnsi="Arial"/>
          <w:b/>
          <w:bCs/>
          <w:color w:val="C9A227"/>
          <w:sz w:val="17"/>
          <w:szCs w:val="17"/>
        </w:rPr>
        <w:t xml:space="preserve">3D Scan Body Measurements (Styku — all measurements in inches)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r>
              <w:rPr>
                <w:rFonts w:ascii="Arial" w:cs="Arial" w:eastAsia="Arial" w:hAnsi="Arial"/>
                <w:color w:val="2C2C2C"/>
                <w:sz w:val="16"/>
                <w:szCs w:val="16"/>
              </w:rPr>
              <w:t xml:space="preserve">Circumference measurements were not captured as part of this scan/intake session — add at the next Styku session to enable this section.</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Trainer Observations &amp; Programming Notes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Strong Foundation</w:t>
            </w:r>
          </w:p>
          <w:p>
            <w:r>
              <w:rPr>
                <w:rFonts w:ascii="Arial" w:cs="Arial" w:eastAsia="Arial" w:hAnsi="Arial"/>
                <w:color w:val="2C2C2C"/>
                <w:sz w:val="15"/>
                <w:szCs w:val="15"/>
              </w:rPr>
              <w:t xml:space="preserve">Rena tested well above typical new-client baselines — an 85 lb Hex Deadlift and 85 lb Hip Thrust for 5 reps each, plus a 2:00 plank hold and 5 clean reps per grip on assisted pull-ups. Her posterior chain and core are both well-developed.</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Body Composition Baseline</w:t>
            </w:r>
          </w:p>
          <w:p>
            <w:r>
              <w:rPr>
                <w:rFonts w:ascii="Arial" w:cs="Arial" w:eastAsia="Arial" w:hAnsi="Arial"/>
                <w:color w:val="2C2C2C"/>
                <w:sz w:val="15"/>
                <w:szCs w:val="15"/>
              </w:rPr>
              <w:t xml:space="preserve">Shape Score 92/100 (Excellent). ALST Index 5.94 kg/m² — within normal reference range for women. Visceral Fat Area is Very Low on ICONS's trend scale. Lean mass distribution supports a healthy-aging trajectory.</w:t>
            </w:r>
            <w:r>
              <w:rPr>
                <w:rFonts w:ascii="Arial" w:cs="Arial" w:eastAsia="Arial" w:hAnsi="Arial"/>
                <w:b/>
                <w:bCs/>
                <w:color w:val="2C2C2C"/>
                <w:sz w:val="12"/>
                <w:szCs w:val="12"/>
                <w:vertAlign w:val="superscript"/>
              </w:rPr>
              <w:t xml:space="preserve"> [3]</w:t>
            </w:r>
            <w:r>
              <w:rPr>
                <w:rFonts w:ascii="Arial" w:cs="Arial" w:eastAsia="Arial" w:hAnsi="Arial"/>
                <w:b/>
                <w:bCs/>
                <w:color w:val="2C2C2C"/>
                <w:sz w:val="12"/>
                <w:szCs w:val="12"/>
                <w:vertAlign w:val="superscript"/>
              </w:rPr>
              <w:t xml:space="preserve"> [4]</w:t>
            </w:r>
            <w:r>
              <w:rPr>
                <w:rFonts w:ascii="Arial" w:cs="Arial" w:eastAsia="Arial" w:hAnsi="Arial"/>
                <w:b/>
                <w:bCs/>
                <w:color w:val="2C2C2C"/>
                <w:sz w:val="12"/>
                <w:szCs w:val="12"/>
                <w:vertAlign w:val="superscript"/>
              </w:rPr>
              <w:t xml:space="preserve"> [6]</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Growth Opportunity — Back Squat Baseline</w:t>
            </w:r>
          </w:p>
          <w:p>
            <w:r>
              <w:rPr>
                <w:rFonts w:ascii="Arial" w:cs="Arial" w:eastAsia="Arial" w:hAnsi="Arial"/>
                <w:color w:val="2C2C2C"/>
                <w:sz w:val="15"/>
                <w:szCs w:val="15"/>
              </w:rPr>
              <w:t xml:space="preserve">Back Squat was not part of the original 11-exercise testing battery — a working Goblet Squat load (30 lbs) was established this program and becomes the new 8-week baseline to track from here.</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Segmental Asymmetry — Monitor Only</w:t>
            </w:r>
          </w:p>
          <w:p>
            <w:r>
              <w:rPr>
                <w:rFonts w:ascii="Arial" w:cs="Arial" w:eastAsia="Arial" w:hAnsi="Arial"/>
                <w:color w:val="2C2C2C"/>
                <w:sz w:val="15"/>
                <w:szCs w:val="15"/>
              </w:rPr>
              <w:t xml:space="preserve">Both the arm (~2%) and leg (~3%) lean-mass gaps sit well under the ≥10% relative threshold research associates with meaningful strength asymmetry — no unilateral-lead protocol is triggered from this scan alone. Tracked again at the next rescan.</w:t>
            </w:r>
          </w:p>
        </w:tc>
      </w:tr>
    </w:tbl>
    <w:p>
      <w:pPr>
        <w:spacing w:after="100"/>
      </w:pPr>
    </w:p>
    <w:p>
      <w:pPr>
        <w:pBdr>
          <w:bottom w:val="single" w:color="C9A227" w:sz="4" w:space="2"/>
        </w:pBdr>
        <w:spacing w:after="80" w:before="120"/>
      </w:pPr>
      <w:r>
        <w:rPr>
          <w:rFonts w:ascii="Arial" w:cs="Arial" w:eastAsia="Arial" w:hAnsi="Arial"/>
          <w:b/>
          <w:bCs/>
          <w:color w:val="C9A227"/>
          <w:sz w:val="17"/>
          <w:szCs w:val="17"/>
        </w:rPr>
        <w:t xml:space="preserve">Your Next Steps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01</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Results Review Call</w:t>
            </w:r>
          </w:p>
          <w:p>
            <w:r>
              <w:rPr>
                <w:rFonts w:ascii="Arial" w:cs="Arial" w:eastAsia="Arial" w:hAnsi="Arial"/>
                <w:color w:val="D8D2C6"/>
                <w:sz w:val="14"/>
                <w:szCs w:val="14"/>
              </w:rPr>
              <w:t xml:space="preserve">Oscar will walk you through your full assessment summary and Styku results.</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02</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Begin Your Personalized Program</w:t>
            </w:r>
          </w:p>
          <w:p>
            <w:r>
              <w:rPr>
                <w:rFonts w:ascii="Arial" w:cs="Arial" w:eastAsia="Arial" w:hAnsi="Arial"/>
                <w:color w:val="D8D2C6"/>
                <w:sz w:val="14"/>
                <w:szCs w:val="14"/>
              </w:rPr>
              <w:t xml:space="preserve">Your 2-Day Full Gym Training Plan is built directly off today's tested baselines — hinge, press, and pull strength at meaningful working loads from week one.</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03</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Track Weekly Progression</w:t>
            </w:r>
          </w:p>
          <w:p>
            <w:r>
              <w:rPr>
                <w:rFonts w:ascii="Arial" w:cs="Arial" w:eastAsia="Arial" w:hAnsi="Arial"/>
                <w:color w:val="D8D2C6"/>
                <w:sz w:val="14"/>
                <w:szCs w:val="14"/>
              </w:rPr>
              <w:t xml:space="preserve">Follow the Week 1 → Week 4 load progression already built into your program; your trainer monitors RIR and technique as loads climb toward and past today's tested numbers.</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04</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Reassessment — 8 to 12 Weeks</w:t>
            </w:r>
          </w:p>
          <w:p>
            <w:r>
              <w:rPr>
                <w:rFonts w:ascii="Arial" w:cs="Arial" w:eastAsia="Arial" w:hAnsi="Arial"/>
                <w:color w:val="D8D2C6"/>
                <w:sz w:val="14"/>
                <w:szCs w:val="14"/>
              </w:rPr>
              <w:t xml:space="preserve">ICONS Index reassessment at 8 weeks to track strength gains, body-composition shifts, and the segmental gaps noted above.</w:t>
            </w:r>
          </w:p>
        </w:tc>
      </w:tr>
    </w:tbl>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METHODOLOGY &amp; HOW TO READ THIS REPORT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spacing w:after="120"/>
      </w:pPr>
      <w:r>
        <w:rPr>
          <w:rFonts w:ascii="Arial" w:cs="Arial" w:eastAsia="Arial" w:hAnsi="Arial"/>
          <w:color w:val="2C2C2C"/>
          <w:sz w:val="14"/>
          <w:szCs w:val="14"/>
        </w:rPr>
        <w:t xml:space="preserve">This appendix documents the methodology and reference standards behind every number and claim above, so nothing in this report is stated more precisely than the underlying measurement actually supports. Superscript markers in the body of the report point to the notes below.</w:t>
      </w:r>
    </w:p>
    <w:p>
      <w:pPr>
        <w:pBdr>
          <w:bottom w:val="single" w:color="C9A227" w:sz="4" w:space="2"/>
        </w:pBdr>
        <w:spacing w:after="80" w:before="120"/>
      </w:pPr>
      <w:r>
        <w:rPr>
          <w:rFonts w:ascii="Arial" w:cs="Arial" w:eastAsia="Arial" w:hAnsi="Arial"/>
          <w:b/>
          <w:bCs/>
          <w:color w:val="C9A227"/>
          <w:sz w:val="17"/>
          <w:szCs w:val="17"/>
        </w:rPr>
        <w:t xml:space="preserve">Footnotes</w:t>
      </w:r>
    </w:p>
    <w:p>
      <w:pPr>
        <w:spacing w:after="100"/>
      </w:pPr>
      <w:r>
        <w:rPr>
          <w:rFonts w:ascii="Arial" w:cs="Arial" w:eastAsia="Arial" w:hAnsi="Arial"/>
          <w:b/>
          <w:bCs/>
          <w:color w:val="2C2C2C"/>
          <w:sz w:val="14"/>
          <w:szCs w:val="14"/>
        </w:rPr>
        <w:t xml:space="preserve">1. </w:t>
      </w:r>
      <w:r>
        <w:rPr>
          <w:rFonts w:ascii="Arial" w:cs="Arial" w:eastAsia="Arial" w:hAnsi="Arial"/>
          <w:color w:val="2C2C2C"/>
          <w:sz w:val="14"/>
          <w:szCs w:val="14"/>
        </w:rPr>
        <w:t xml:space="preserve">Body-fat "Rank" (e.g., Fit) is generated by Styku against its own norm-referenced comparison groups, drawn from self-selected clinical/fitness-testing populations — not a nationally representative sample. A population-representative comparison can shift a person's percentile substantially versus these vendor tables, even though the underlying body-fat % is identical.</w:t>
      </w:r>
    </w:p>
    <w:p>
      <w:pPr>
        <w:spacing w:after="100"/>
      </w:pPr>
      <w:r>
        <w:rPr>
          <w:rFonts w:ascii="Arial" w:cs="Arial" w:eastAsia="Arial" w:hAnsi="Arial"/>
          <w:b/>
          <w:bCs/>
          <w:color w:val="2C2C2C"/>
          <w:sz w:val="14"/>
          <w:szCs w:val="14"/>
        </w:rPr>
        <w:t xml:space="preserve">2. </w:t>
      </w:r>
      <w:r>
        <w:rPr>
          <w:rFonts w:ascii="Arial" w:cs="Arial" w:eastAsia="Arial" w:hAnsi="Arial"/>
          <w:color w:val="2C2C2C"/>
          <w:sz w:val="14"/>
          <w:szCs w:val="14"/>
        </w:rPr>
        <w:t xml:space="preserve">BMR is calculated with the Revised Harris-Benedict equation from height, weight, age, and sex — a population-average formula, not a measured value (only indirect calorimetry measures metabolic rate directly). Published accuracy studies show these formulas land within ±10% of measured resting metabolic rate for roughly half of people; treat the number as a useful planning estimate, not a precise reading.</w:t>
      </w:r>
    </w:p>
    <w:p>
      <w:pPr>
        <w:spacing w:after="100"/>
      </w:pPr>
      <w:r>
        <w:rPr>
          <w:rFonts w:ascii="Arial" w:cs="Arial" w:eastAsia="Arial" w:hAnsi="Arial"/>
          <w:b/>
          <w:bCs/>
          <w:color w:val="2C2C2C"/>
          <w:sz w:val="14"/>
          <w:szCs w:val="14"/>
        </w:rPr>
        <w:t xml:space="preserve">3. </w:t>
      </w:r>
      <w:r>
        <w:rPr>
          <w:rFonts w:ascii="Arial" w:cs="Arial" w:eastAsia="Arial" w:hAnsi="Arial"/>
          <w:color w:val="2C2C2C"/>
          <w:sz w:val="14"/>
          <w:szCs w:val="14"/>
        </w:rPr>
        <w:t xml:space="preserve">Shape Score is a Styku-proprietary composite of body fat %, a muscle-fat index, and waist-to-height ratio, designed for easy client communication. It has not been independently validated as a clinical health score — read it as a personal trend-tracking number, not a diagnostic one.</w:t>
      </w:r>
    </w:p>
    <w:p>
      <w:pPr>
        <w:spacing w:after="100"/>
      </w:pPr>
      <w:r>
        <w:rPr>
          <w:rFonts w:ascii="Arial" w:cs="Arial" w:eastAsia="Arial" w:hAnsi="Arial"/>
          <w:b/>
          <w:bCs/>
          <w:color w:val="2C2C2C"/>
          <w:sz w:val="14"/>
          <w:szCs w:val="14"/>
        </w:rPr>
        <w:t xml:space="preserve">4. </w:t>
      </w:r>
      <w:r>
        <w:rPr>
          <w:rFonts w:ascii="Arial" w:cs="Arial" w:eastAsia="Arial" w:hAnsi="Arial"/>
          <w:color w:val="2C2C2C"/>
          <w:sz w:val="14"/>
          <w:szCs w:val="14"/>
        </w:rPr>
        <w:t xml:space="preserve">Visceral Fat Area is shown as a single trend tag ("Very Low," the &lt;70 cm² floor already used elsewhere in this system) rather than a multi-tier risk classification — no consensus body endorses one universal VFA threshold, published CT-derived cutoffs for elevated risk in women run considerably higher (commonly cited around 106 cm²+), and this scanner's own visceral-fat validation was performed against DXA in kilograms, not against CT in cm². Read this number as a personal trend to track over time, alongside waist circumference.</w:t>
      </w:r>
    </w:p>
    <w:p>
      <w:pPr>
        <w:spacing w:after="100"/>
      </w:pPr>
      <w:r>
        <w:rPr>
          <w:rFonts w:ascii="Arial" w:cs="Arial" w:eastAsia="Arial" w:hAnsi="Arial"/>
          <w:b/>
          <w:bCs/>
          <w:color w:val="2C2C2C"/>
          <w:sz w:val="14"/>
          <w:szCs w:val="14"/>
        </w:rPr>
        <w:t xml:space="preserve">5. </w:t>
      </w:r>
      <w:r>
        <w:rPr>
          <w:rFonts w:ascii="Arial" w:cs="Arial" w:eastAsia="Arial" w:hAnsi="Arial"/>
          <w:color w:val="2C2C2C"/>
          <w:sz w:val="14"/>
          <w:szCs w:val="14"/>
        </w:rPr>
        <w:t xml:space="preserve">Peer-comparison percentiles reflect Styku's own reference database for similar age/sex, drawn from self-selected fitness/clinical testing populations, not a nationally representative survey. A population-representative comparison can place the same body composition at a meaningfully different percentile.</w:t>
      </w:r>
    </w:p>
    <w:p>
      <w:pPr>
        <w:spacing w:after="100"/>
      </w:pPr>
      <w:r>
        <w:rPr>
          <w:rFonts w:ascii="Arial" w:cs="Arial" w:eastAsia="Arial" w:hAnsi="Arial"/>
          <w:b/>
          <w:bCs/>
          <w:color w:val="2C2C2C"/>
          <w:sz w:val="14"/>
          <w:szCs w:val="14"/>
        </w:rPr>
        <w:t xml:space="preserve">6. </w:t>
      </w:r>
      <w:r>
        <w:rPr>
          <w:rFonts w:ascii="Arial" w:cs="Arial" w:eastAsia="Arial" w:hAnsi="Arial"/>
          <w:color w:val="2C2C2C"/>
          <w:sz w:val="14"/>
          <w:szCs w:val="14"/>
        </w:rPr>
        <w:t xml:space="preserve">Appendicular Lean Soft Tissue (ALST) Index reflects the sex-specific EWGSOP2 reference range (women: &lt;5.5 kg/m² is the low-muscle-mass screening cutoff). Rena's 5.94 kg/m² sits comfortably above that cutoff and within the normal reference range for women — there is no separate female "Optimal" tier above it; a higher band once used for this (≥7.0 kg/m²) is EWGSOP2's MALE threshold, not a female one, and is not used in this report. ALM/ALMI from 3D optical scanning has not been independently validated against DXA in the published Styku validation study — read this number as a trend to track at future scans, not a precise classification.</w:t>
      </w:r>
    </w:p>
    <w:p>
      <w:pPr>
        <w:spacing w:after="100"/>
      </w:pPr>
      <w:r>
        <w:rPr>
          <w:rFonts w:ascii="Arial" w:cs="Arial" w:eastAsia="Arial" w:hAnsi="Arial"/>
          <w:b/>
          <w:bCs/>
          <w:color w:val="2C2C2C"/>
          <w:sz w:val="14"/>
          <w:szCs w:val="14"/>
        </w:rPr>
        <w:t xml:space="preserve">7. </w:t>
      </w:r>
      <w:r>
        <w:rPr>
          <w:rFonts w:ascii="Arial" w:cs="Arial" w:eastAsia="Arial" w:hAnsi="Arial"/>
          <w:color w:val="2C2C2C"/>
          <w:sz w:val="14"/>
          <w:szCs w:val="14"/>
        </w:rPr>
        <w:t xml:space="preserve">See the in-page note on "How to Read % BW and Level" on the Strength Assessment page.</w:t>
      </w:r>
    </w:p>
    <w:p>
      <w:pPr>
        <w:spacing w:after="100"/>
      </w:pPr>
      <w:r>
        <w:rPr>
          <w:rFonts w:ascii="Arial" w:cs="Arial" w:eastAsia="Arial" w:hAnsi="Arial"/>
          <w:b/>
          <w:bCs/>
          <w:color w:val="2C2C2C"/>
          <w:sz w:val="14"/>
          <w:szCs w:val="14"/>
        </w:rPr>
        <w:t xml:space="preserve">8. </w:t>
      </w:r>
      <w:r>
        <w:rPr>
          <w:rFonts w:ascii="Arial" w:cs="Arial" w:eastAsia="Arial" w:hAnsi="Arial"/>
          <w:color w:val="2C2C2C"/>
          <w:sz w:val="14"/>
          <w:szCs w:val="14"/>
        </w:rPr>
        <w:t xml:space="preserve">Deadlift: the Biological Age line above describes a bone-loading benefit associated with maintained/improved bone mineral density in women 40+ — it does not claim to reduce Rena's individual osteoporosis risk, since a single assessment (with no bone-density scan on file) cannot confirm that for any one person.</w:t>
      </w:r>
    </w:p>
    <w:p>
      <w:pPr>
        <w:spacing w:after="100"/>
      </w:pPr>
      <w:r>
        <w:rPr>
          <w:rFonts w:ascii="Arial" w:cs="Arial" w:eastAsia="Arial" w:hAnsi="Arial"/>
          <w:b/>
          <w:bCs/>
          <w:color w:val="2C2C2C"/>
          <w:sz w:val="14"/>
          <w:szCs w:val="14"/>
        </w:rPr>
        <w:t xml:space="preserve">9. </w:t>
      </w:r>
      <w:r>
        <w:rPr>
          <w:rFonts w:ascii="Arial" w:cs="Arial" w:eastAsia="Arial" w:hAnsi="Arial"/>
          <w:color w:val="2C2C2C"/>
          <w:sz w:val="14"/>
          <w:szCs w:val="14"/>
        </w:rPr>
        <w:t xml:space="preserve">Hip Thrust: the Health line above describes deep-core/pelvic-floor co-activation during the lift, not pelvic-floor strengthening — current research (e.g., Skaug et al. 2024) finds no measurable pelvic-floor-muscle strength change from heavy compound lifts alone; only targeted pelvic-floor training builds pelvic-floor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Summary of Factual Corrections Made in This Revision</w:t>
            </w:r>
          </w:p>
          <w:p>
            <w:r>
              <w:rPr>
                <w:rFonts w:ascii="Arial" w:cs="Arial" w:eastAsia="Arial" w:hAnsi="Arial"/>
                <w:i/>
                <w:iCs/>
                <w:color w:val="6B6B6B"/>
                <w:sz w:val="14"/>
                <w:szCs w:val="14"/>
              </w:rPr>
              <w:t xml:space="preserve">First build — no prior version of this report exists to correct. This is the reference version going forward.</w:t>
            </w:r>
          </w:p>
        </w:tc>
      </w:tr>
    </w:tbl>
    <w:p>
      <w:pPr>
        <w:spacing w:after="120"/>
      </w:pPr>
    </w:p>
    <w:sectPr>
      <w:footerReference w:type="default" r:id="rId7"/>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4"/>
      </w:pBdr>
      <w:spacing w:before="80"/>
      <w:jc w:val="center"/>
    </w:pPr>
    <w:r>
      <w:rPr>
        <w:rFonts w:ascii="Arial" w:cs="Arial" w:eastAsia="Arial" w:hAnsi="Arial"/>
        <w:color w:val="6B6B6B"/>
        <w:sz w:val="13"/>
        <w:szCs w:val="13"/>
      </w:rPr>
      <w:t xml:space="preserve">BRACE LIFE STUDIOS  |  bracelifestudios.com  |  ICONS Performance System  |  Confidential Client Report   </w:t>
    </w:r>
    <w:r>
      <w:rPr>
        <w:rFonts w:ascii="Arial" w:cs="Arial" w:eastAsia="Arial" w:hAnsi="Arial"/>
        <w:color w:val="6B6B6B"/>
        <w:sz w:val="13"/>
        <w:szCs w:val="13"/>
      </w:rPr>
      <w:t xml:space="preserve">Page </w:t>
    </w:r>
    <w:r>
      <w:rPr>
        <w:rFonts w:ascii="Arial" w:cs="Arial" w:eastAsia="Arial" w:hAnsi="Arial"/>
        <w:color w:val="6B6B6B"/>
        <w:sz w:val="13"/>
        <w:szCs w:val="13"/>
      </w:rPr>
      <w:fldChar w:fldCharType="begin"/>
      <w:instrText xml:space="preserve">PAGE</w:instrText>
      <w:fldChar w:fldCharType="separate"/>
      <w:fldChar w:fldCharType="end"/>
    </w:r>
    <w:r>
      <w:rPr>
        <w:rFonts w:ascii="Arial" w:cs="Arial" w:eastAsia="Arial" w:hAnsi="Arial"/>
        <w:color w:val="6B6B6B"/>
        <w:sz w:val="13"/>
        <w:szCs w:val="13"/>
      </w:rPr>
      <w:t xml:space="preserve"> of </w:t>
    </w:r>
    <w:r>
      <w:rPr>
        <w:rFonts w:ascii="Arial" w:cs="Arial" w:eastAsia="Arial" w:hAnsi="Arial"/>
        <w:color w:val="6B6B6B"/>
        <w:sz w:val="13"/>
        <w:szCs w:val="13"/>
      </w:rPr>
      <w:fldChar w:fldCharType="begin"/>
      <w:instrText xml:space="preserve">NUMPAGES</w:instrText>
      <w:fldChar w:fldCharType="separate"/>
      <w:fldChar w:fldCharType="end"/>
    </w:r>
    <w:r>
      <w:rPr>
        <w:rFonts w:ascii="Arial" w:cs="Arial" w:eastAsia="Arial" w:hAnsi="Arial"/>
        <w:color w:val="6B6B6B"/>
        <w:sz w:val="13"/>
        <w:szCs w:val="13"/>
      </w:rPr>
      <w:t xml:space="preserve">   |  Rena Paul  |  8/8/2026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2026-08-17T21:01:25.570Z</dcterms:created>
  <dcterms:modified xsi:type="dcterms:W3CDTF">2026-08-17T21:01:25.570Z</dcterms:modified>
</cp:coreProperties>
</file>

<file path=docProps/custom.xml><?xml version="1.0" encoding="utf-8"?>
<Properties xmlns="http://schemas.openxmlformats.org/officeDocument/2006/custom-properties" xmlns:vt="http://schemas.openxmlformats.org/officeDocument/2006/docPropsVTypes"/>
</file>