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C9A227"/>
          <w:sz w:val="17"/>
          <w:szCs w:val="17"/>
        </w:rPr>
        <w:t xml:space="preserve">Eating Enough Is Part of This Program — Modest Energy Surplus:  </w:t>
      </w:r>
      <w:r>
        <w:rPr>
          <w:rFonts w:ascii="Arial" w:cs="Arial" w:eastAsia="Arial" w:hAnsi="Arial"/>
          <w:color w:val="2C2C2C"/>
          <w:sz w:val="17"/>
          <w:szCs w:val="17"/>
        </w:rPr>
        <w:t xml:space="preserve">The protein target below (107-118g/day) supplies the building blocks; total energy decides whether the body is allowed to build with them. At 118 lbs with an At-Risk lean-mass reading, muscle-building requires eating above maintenance — protein alone cannot do it at maintenance intake or below. The working starting point is a modest, consistent surplus of roughly 350-480 calories per day above her usual maintenance intake — not a fixed rule for the full eight weeks: it gets checked against the body-composition and strength trends at the rescan and adjusted from there, the same way every load in this plan is. This is not a meal plan and not a weight-gain alarm — it is the same training-support logic as the protein and creatine targets already in place: for Siobhan specifically, given the At-Risk lean-mass reading and low body weight, eating enough is part of the training program itself, not a separate project. Given her profile, a conversation with a registered dietitian is a genuinely worthwhile option — offered here as support for making the surplus easy and sustainable, and something her coach can help arrange whenever she'd like.</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C9A227"/>
          <w:sz w:val="17"/>
          <w:szCs w:val="17"/>
        </w:rPr>
        <w:t xml:space="preserve">Bone Density — A Conversation Worth Raising With Her Physician (Bone Investment):  </w:t>
      </w:r>
      <w:r>
        <w:rPr>
          <w:rFonts w:ascii="Arial" w:cs="Arial" w:eastAsia="Arial" w:hAnsi="Arial"/>
          <w:color w:val="2C2C2C"/>
          <w:sz w:val="17"/>
          <w:szCs w:val="17"/>
        </w:rPr>
        <w:t xml:space="preserve">At 59, postmenopausal, and at a low body weight, two established bone-density risk factors sit together in her profile — which makes this a conversation genuinely worth raising with her physician: a clinical bone-health risk assessment (FRAX or similar) and, if her physician finds it indicated, a DXA scan. This is bone investment, not alarm — the result directly informs how her Hex Bar Deadlift and Hip Thrust work gets framed and progressed over the long term. A T-score below -1.0 would make her a candidate for a formal bone-loading progression built on exactly the lifts already in this program; a healthy reading simply confirms the current plan as it stands. Stated honestly: her current working intensities — peaking around 85% of estimated 1RM at Week 4 — sit below the &gt;85% threshold the strongest bone-loading trial evidence used, and that is exactly appropriate for where she is right now, with a shoulder reintroduction and a hip rehab both underway. A T-score result is what would shape whether, when, and how the long-term loading plan builds toward that standard. Nothing in today's program waits on the scan — her deadlift and hip-thrust work is already real, progressive bone-loading stimulus at her current level.</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Days 1 and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C9A227"/>
          <w:sz w:val="17"/>
          <w:szCs w:val="17"/>
        </w:rPr>
        <w:t xml:space="preserve">Age Bracket &amp; Postmenopausal Status — 55-65 Bracket:  </w:t>
      </w:r>
      <w:r>
        <w:rPr>
          <w:rFonts w:ascii="Arial" w:cs="Arial" w:eastAsia="Arial" w:hAnsi="Arial"/>
          <w:color w:val="2C2C2C"/>
          <w:sz w:val="17"/>
          <w:szCs w:val="17"/>
        </w:rPr>
        <w:t xml:space="preserve">At 59, Siobhan sits within CLAUDE.md's 55-65 "Postmenopausal" Age Bracket. isPostmenopausal is a confirmed, already-documented fact (not inferred from today's build), so pelvicFloorCallout() fires automatically on every day containing squat, deadlift/RDL, hip-thrust, or carry content — all three days in this program, since the 8/18/2026 integration blocks brought carry content to Day 1 (previously Days 2-3 only) — and is left to fire naturally throughout, never suppressed. Protein escalates to the upper end of the 1.6-2.2 g/kg range on ALST At-Risk grounds (CLAUDE.md's Protein Targets section, corrected 8/17/2026 — the target is now context-driven [energy deficit / heavy training load / ALST At-Risk], not an age-band escalation; she qualifies on ALST At-Risk alone, independent of her age): at her 53.5 kg bodyweight that resolves to 107-118g/day, matching her already-documented protein target exactly — no number changed, only the stated rationale. Creatine is strongly indicated. LIFTMOR-style bone-loading candidacy (T-score &lt; -1.0) is worth screening for as part of ongoing care, though no DEXA/T-score data is currently on file to confirm candidacy either way.</w:t>
      </w:r>
    </w:p>
    <w:p>
      <w:pPr>
        <w:spacing w:after="100"/>
      </w:pPr>
      <w:r>
        <w:rPr>
          <w:rFonts w:ascii="Arial" w:cs="Arial" w:eastAsia="Arial" w:hAnsi="Arial"/>
          <w:b/>
          <w:bCs/>
          <w:color w:val="C9A227"/>
          <w:sz w:val="17"/>
          <w:szCs w:val="17"/>
        </w:rPr>
        <w:t xml:space="preserve">Power Training Added — 55-65 Bracket (8/13/2026):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3, Block H (relettered from F in the 8/18/2026 Block Method restructure) includes a Box Step-Up Jump: bodyweight, full recovery between sets, and deliberately a lower-body movement — no overhead component, given the left shoulder reintroduction still underway on Days 1 and 3. Full recovery between sets is the defining design feature of power work, distinct from a metabolic stimulus, so it does not compete with the deliberately brief metabolic finishers used elsewhere in this program, which stay short specifically to protect recovery capacity for the ALST At-Risk/Underweight resistance-training priority named above.</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a shoulder in active reintroduction and a hip in active rehab, this is how the program protects both healing sites while the strength built in Weeks 1-4 consolidates. One light week costs nothing that matters: muscle built over the previous month is not lost in a single reduced-volume week — only a small edge of peak strength dips, and it returns within days of resuming. Weeks 6-8 then rebuild from the Week 4 loads toward the Week 8 retest and rescan.</w:t>
      </w:r>
    </w:p>
    <w:p>
      <w:pPr>
        <w:spacing w:after="100"/>
      </w:pPr>
      <w:r>
        <w:rPr>
          <w:rFonts w:ascii="Arial" w:cs="Arial" w:eastAsia="Arial" w:hAnsi="Arial"/>
          <w:b/>
          <w:bCs/>
          <w:color w:val="C9A227"/>
          <w:sz w:val="17"/>
          <w:szCs w:val="17"/>
        </w:rPr>
        <w:t xml:space="preserve">Source of the Left Hip Finding — Documentation Provenance:  </w:t>
      </w:r>
      <w:r>
        <w:rPr>
          <w:rFonts w:ascii="Arial" w:cs="Arial" w:eastAsia="Arial" w:hAnsi="Arial"/>
          <w:color w:val="2C2C2C"/>
          <w:sz w:val="17"/>
          <w:szCs w:val="17"/>
        </w:rPr>
        <w:t xml:space="preserve">The left hip tendinitis finding above enters this program from a Jason Bethea SOAP note dated 8/6/2026 (SOAP_SiobhanHansen_2026-08-06.pdf, Stress Bar Clinical) — it was not previously documented anywhere in this program or in her roster entry, and was added as a purely additive revision on 8/18/2026: no load numbers, sets/reps, or pre-existing clinical content (shoulder flag, scapular gate, asymmetry protocol) were changed. The same note also documented a left shoulder "Mobility &amp; Function · Left · Severity 3 · Postural dysfunction" finding, which is continuity with the already-documented shoulder-reintroduction priority rather than a new finding, and required no action.</w:t>
      </w:r>
    </w:p>
    <w:p>
      <w:pPr>
        <w:spacing w:after="100"/>
      </w:pPr>
      <w:r>
        <w:rPr>
          <w:rFonts w:ascii="Arial" w:cs="Arial" w:eastAsia="Arial" w:hAnsi="Arial"/>
          <w:b/>
          <w:bCs/>
          <w:color w:val="43A047"/>
          <w:sz w:val="17"/>
          <w:szCs w:val="17"/>
        </w:rPr>
        <w:t xml:space="preserve">PT Update — 8/6/2026 Session, Additional Activation &amp; Accessory Detail (Jason Bethea):  </w:t>
      </w:r>
      <w:r>
        <w:rPr>
          <w:rFonts w:ascii="Arial" w:cs="Arial" w:eastAsia="Arial" w:hAnsi="Arial"/>
          <w:color w:val="2C2C2C"/>
          <w:sz w:val="17"/>
          <w:szCs w:val="17"/>
        </w:rPr>
        <w:t xml:space="preserve">The same SOAP note above (SOAP_SiobhanHansen_2026-08-06.pdf) documented a fuller PT-led warm-up and activation circuit covering both her left shoulder and left hip findings. Folded in this update: (1) a full-body PVC-stick mobility routine (shoulder passovers, overhead squat with stick, hip openers) used as her actual session opener, added to Day 1's warm-up, with a hip-opener line also added to Day 2's warm-up given the active hip rehab there; (2) Crab Walk (Static Elvis Knee/Internal Rotation — her actual performed modification, not the standard walking version) and Glute Kickback (Total Gym Level 10, 50 lbs) added to the existing hip-activation blocks on Day 2 and Day 3, directly reinforcing the left-hip tendinitis rehab; (3) Floor Row on Foam Roller, I's-T's-W's (Prone, with her documented modification — 5 lb DBs, one arm in a hinge stance, reduced ROM on the W/Y sweep), and Quadruped Shoulder Press added to Day 1's existing shoulder corrective block, directly reinforcing the left-shoulder postural-dysfunction finding.</w:t>
      </w:r>
    </w:p>
    <w:p>
      <w:pPr>
        <w:spacing w:after="100"/>
      </w:pPr>
      <w:r>
        <w:rPr>
          <w:rFonts w:ascii="Arial" w:cs="Arial" w:eastAsia="Arial" w:hAnsi="Arial"/>
          <w:b/>
          <w:bCs/>
          <w:color w:val="1565C0"/>
          <w:sz w:val="17"/>
          <w:szCs w:val="17"/>
        </w:rPr>
        <w:t xml:space="preserve">Sleep — Where the Training Turns Into Muscle:  </w:t>
      </w:r>
      <w:r>
        <w:rPr>
          <w:rFonts w:ascii="Arial" w:cs="Arial" w:eastAsia="Arial" w:hAnsi="Arial"/>
          <w:color w:val="2C2C2C"/>
          <w:sz w:val="17"/>
          <w:szCs w:val="17"/>
        </w:rPr>
        <w:t xml:space="preserve">One quiet part of this program deserves naming: sleep. The sessions here stimulate muscle; sleep is where that muscle actually gets built — and with a shoulder and a hip both healing alongside a muscle-building priority, her recovery hours are doing real work every night, not just resting. The encouraging part runs both directions: consistent resistance training itself measurably improves sleep quality, so the plan supports the nights as much as the nights support the plan. Protect sleep the way the sessions are protected — it is part of the program, not adjacent to it.</w:t>
      </w:r>
    </w:p>
    <w:p>
      <w:pPr>
        <w:spacing w:after="100"/>
      </w:pPr>
      <w:r>
        <w:rPr>
          <w:rFonts w:ascii="Arial" w:cs="Arial" w:eastAsia="Arial" w:hAnsi="Arial"/>
          <w:b/>
          <w:bCs/>
          <w:color w:val="C9A227"/>
          <w:sz w:val="17"/>
          <w:szCs w:val="17"/>
        </w:rPr>
        <w:t xml:space="preserve">Session Architecture — ICONS Block Method Pilot (8/18/2026, incl. Slot 6):  </w:t>
      </w:r>
      <w:r>
        <w:rPr>
          <w:rFonts w:ascii="Arial" w:cs="Arial" w:eastAsia="Arial" w:hAnsi="Arial"/>
          <w:color w:val="2C2C2C"/>
          <w:sz w:val="17"/>
          <w:szCs w:val="17"/>
        </w:rPr>
        <w:t xml:space="preserve">This document is the roster pilot for the ICONS Block Method standing session architecture (Corrective → Primary Compound → Accessory → Jason's Exercise → Secondary Compound → Third Compound — Integration; see CLAUDE.md — the sixth slot was added 8/18/2026, same day as the pilot, and is applied here too). Restructure is organizational only — every clinical element (left-hip tendinitis flags on all 6 originally hip-loaded exercises, shoulder reintroduction protocol, scapular gate, both asymmetry leads, protein bar on all days) and every Wk1→Wk4 load survives verbatim. Five-slot mapping: Day 1 — Incline Push-Up promoted to the accessory slot ahead of the pull block (1 RIR per corrected accessory tier); slot 4 omitted (all Jason content consumed by the corrective slot; a slot-4 Floor Row would stack 3 consecutive pulls, and adding hip-side Jason work to Day 1 would raise rehab-exercise frequency to 3x/week — Jason's call, not ours). Day 2 — Squat/SL Stance Squat split into primary/accessory blocks; Floor Row on Foam Roller added as the Jason slot (2nd weekly touch of the postural finding, antagonist break between squat and hinge patterns). Day 3 — Hex DL/Hip Thrust split into primary/accessory blocks (Hex DL RIR aligned to 2 RIR primary default); I's-T's-W's added as the Jason slot priming the check-in; check-in reframed as the secondary compound. Accessory-slot RIR held at 2 (not the 1-RIR default) on both hip-flagged accessories (SL Stance Squat, Hip Thrust) as a deliberate clinical override during active tendinitis rehab. SLOT 6 (Third Compound — Integration, applied fifth pass same day — resolves the pilot's original "carries/core/power have no named slot" friction finding): Day 1 gains Block F, Suitcase Carry right-led (15-20 lbs, anchored to the Day 3 suitcase prescription/tested Farmers Carry baseline, no invented number) — this brings carry content to Day 1, so pelvicFloorCallout() now auto-fires on ALL THREE days (previously 2-3 only; correct per the amended spec, not a bug). Day 2 gains Block F, Hinge-to-Carry Complex (DB Deadlift x5 → Farmers Carry, 2 sets, deliberately light 15-20 lbs/hand — integrates the day's patterns into braced gait without adding heavy hip-extension volume during active rehab; carries the standard left-hip flag, making 7 flagged hip-loaded exercises total). Day 3's Blocks F/G/H (carries/core/power) retitled as its integration work, content unchanged except Farmers Carry rirNote aligned from '2 RIR' to the carry convention. All carry/complex work is distance/quality-governed with no RIR target, stated per exercise. Metabolic finishers still close each day after the integration work.</w:t>
      </w:r>
    </w:p>
    <w:p>
      <w:pPr>
        <w:spacing w:after="100"/>
      </w:pPr>
      <w:r>
        <w:rPr>
          <w:rFonts w:ascii="Arial" w:cs="Arial" w:eastAsia="Arial" w:hAnsi="Arial"/>
          <w:b/>
          <w:bCs/>
          <w:color w:val="C9A227"/>
          <w:sz w:val="17"/>
          <w:szCs w:val="17"/>
        </w:rPr>
        <w:t xml:space="preserve">Clinical Question for Jason Bethea — Graded vs. Binary Hip Pain Rule (Pending, 8/18/2026):  </w:t>
      </w:r>
      <w:r>
        <w:rPr>
          <w:rFonts w:ascii="Arial" w:cs="Arial" w:eastAsia="Arial" w:hAnsi="Arial"/>
          <w:color w:val="2C2C2C"/>
          <w:sz w:val="17"/>
          <w:szCs w:val="17"/>
        </w:rPr>
        <w:t xml:space="preserve">Recorded from the 8/18/2026 external review of this document, for Jason Bethea via the normal SOAP-note channel — deliberately NOT applied here. Her left-hip stop-signal is currently binary (sharp/pinching pain = stop the set), which is more conservative than the evidence-based graded tendinopathy loading model (Silbernagel pain-monitoring: pain up to ~5/10 acceptable DURING loading, provided it settles within 24 hours and is not trending worse week to week). The binary rule is Jason's clinical call as the coordinating in-house PT for her active left-hip tendinitis rehab — per the never-silently-merge-clinical-conflicts rule, every instance of the sharp/pinching stop-signal language in this document stays verbatim pending his input. If he adopts a graded model, the update touches all 7 hip-flagged exercises' flag text plus the Day 2/Day 3 block intros and ICONS Notes in one pass. Status: question pending; do not change the pain rule without his documented answer.</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 Expert retraction options for the coach running the session — rotate by what her control shows that day rather than repeating one drill: band pull-apart, retraction-depression hold, scapular push-up, prone I's-T's-W's (her Day 3 modification applies), face pull, wall slide with lift-off, chest-supported scap-retraction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Push-Up</w:t>
            </w:r>
          </w:p>
          <w:p>
            <w:r>
              <w:rPr>
                <w:rFonts w:ascii="Arial" w:cs="Arial" w:eastAsia="Arial" w:hAnsi="Arial"/>
                <w:i/>
                <w:iCs/>
                <w:color w:val="B71C1C"/>
                <w:sz w:val="14"/>
                <w:szCs w:val="14"/>
              </w:rPr>
              <w:t xml:space="preserve">Left shoulder — quadruped regression if plank position provokes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locked, move only the shoulder blades — protract and retract through full comfortable range.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Left shoulder — regress to quadruped position if the plank loads it painfully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exercise. Anchors the shoulder closed-chain right after pressing.</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SUITCASE CARRY (RIGHT-LED)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movement that pulls today's work together: the scapular setting built in Blocks A-B, the grip and pulling strength from Block E, and the tall pressing posture from Block C, all held at once under gait. The weaker (right) hand holds the load, the same rule as Day 3's suitcase carry. Distance and movement quality govern this work, not an RIR target — add load only when every yard stays tall and level.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Shoulders set, ribs stacked, resist the lean.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G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 The closing suitcase carry puts today's scapular and postural work to use under load — right hand holds the weight, every yard tall and level.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HINGE-TO-CARRY COMPLEX</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a light hip hinge flowing straight into a loaded walk, integrating today's squat and hinge patterns into upright, braced gait. Loads stay deliberately light: this closes the session with quality movement, not more heavy hip-extension volume on a day that already carries plenty of it, out of respect for the left-hip rehab. Distance and movement quality govern this work, not an RIR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Hinge-to-Carry Complex (DB Deadlift → Farmers Carry)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the DBs up clean, walk tall, hinge to set down.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including the closing hinge-to-carry complex; sharp or pinching hip pain stops the set, ordinary fatigue does not. The complex stays light on purpose — it is quality movement under load, not extra hip-extension volume.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CARRIES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closing compound work begins here — the carries pull the day's hinge and hip-extension strength into upright, braced gait. Farmers Carry tested bilaterally at 25 lbs/hand. Suitcase Carry adds the Asymmetry Protocol's single-hand rule directly — the weaker (right) hand holds the load, training anti-lateral-flexion through the opposite side. Distance and movement quality govern the carries, not an RIR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FULL-BODY INTEGRATION — CORE UNDER LOAD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Core work as part of the session's integrated close — progression from the tested 1:04 plank baseline, paired with anti-rotation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lower-body work. 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 closing suitcase carry right-led, quality-governed.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 · Hinge-to-Carry</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 closing complex stays light, quality-governed.</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 through the Week 4 check, the planned Week 5 deload (loads held, sets reduced), and the Weeks 6-8 rebuild toward the retest.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 it lands at the end of the Weeks 6-8 rebuild that follows the planned Week 5 deload, so the scan reads a fully rebuilt, consolidated block rather than a mid-deload dip. Track: ALST Index trend (currently 4.66 kg/m², At-Risk — the top clinical priority), BMI trend (currently 17.4, Underweight — read alongside the energy-surplus note above: the goal is lean-mass-driven weight gain, not weight loss),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2026-08-18T21:43:10.911Z</dcterms:created>
  <dcterms:modified xsi:type="dcterms:W3CDTF">2026-08-18T21:43:10.924Z</dcterms:modified>
</cp:coreProperties>
</file>

<file path=docProps/custom.xml><?xml version="1.0" encoding="utf-8"?>
<Properties xmlns="http://schemas.openxmlformats.org/officeDocument/2006/custom-properties" xmlns:vt="http://schemas.openxmlformats.org/officeDocument/2006/docPropsVTypes"/>
</file>