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Split Stance: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~2.2% relative, right marginally lower) — below CLAUDE.md's corrected &gt;=10% relative Asymmetry Protocol trigger (also below the prior 0.5 lb absolute trigger — no change here), so it's noted here but the weaker-side-leads rule is deliberately NOT applied to Single-Arm Row. Left Leg LST 23.6 lbs vs Right Leg LST 24.9 lbs (1.3 lb gap, ~5.2% relative, left weaker) — left leg currently leads Split Stance (Days 1-2), the program's only unilateral leg movement, logged separately in the coaching cue. FLAGGED DISCREPANCY (8/17/2026 language-correction pass): this gap met the OLD 0.5 lb absolute trigger (this document's original basis for the left-leg-leads assignment), but does NOT clear CLAUDE.md's corrected &gt;=10% relative trigger (per an external evidence review finding the old absolute trigger was firing on measurement noise). Per this pass's explicit instructions, the left-leg-leads Split Stance prescription is left UNCHANGED pending a dedicated per-client review — this is a trigger-logic language correction, not a silent resolution of whether the protocol should still apply. Flagged to the main thread/icons-expert.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roughly 31g per meal as a practical distribution target (a pragmatic route to the daily total, not a measured per-meal anabolic threshold), which needs 5 or more meals to reach the working range above.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2026-08-21T15:42:14.157Z</dcterms:created>
  <dcterms:modified xsi:type="dcterms:W3CDTF">2026-08-21T15:42:14.157Z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