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00"/>
        <w:jc w:val="center"/>
      </w:pPr>
      <w:r>
        <w:rPr>
          <w:rFonts w:ascii="Arial" w:cs="Arial" w:eastAsia="Arial" w:hAnsi="Arial"/>
          <w:i/>
          <w:iCs/>
          <w:color w:val="6B6B6B"/>
          <w:sz w:val="17"/>
          <w:szCs w:val="17"/>
        </w:rPr>
        <w:t xml:space="preserve">Age 25  ·  Male  ·  QL Tendinosis — PT-Coordinated Care  ·  Assessment: Force Plate / Dynamometer, 8/4–5/2026</w:t>
      </w: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the client's treating PT/physician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target roughly 130–175g/day, spread across 4–5 meals including a pre-sleep dose (pre-sleep protein improves overnight muscle protein synthesis). Shaw et al. (2017), Bischof et al. (2024), Praet et al. (2019 — specifically in Achilles tendinopathy patients): 15–30g vitamin-C-enriched collagen/gelatin 30–60 min before loading increases collagen synthesis markers and, over months, tendon stiffness — directly relevant given the QL tendinosis. Recommend 15g collagen peptides + ~50mg vitamin C, 30–60 min pre-session, on all 3 training days, alongside PT-directed care.</w:t>
      </w:r>
    </w:p>
    <w:p>
      <w:pPr>
        <w:spacing w:after="100"/>
      </w:pPr>
      <w:r>
        <w:rPr>
          <w:rFonts w:ascii="Arial" w:cs="Arial" w:eastAsia="Arial" w:hAnsi="Arial"/>
          <w:b/>
          <w:bCs/>
          <w:color w:val="6A1B9A"/>
          <w:sz w:val="17"/>
          <w:szCs w:val="17"/>
        </w:rPr>
        <w:t xml:space="preserve">Why This Program Doesn't Use the Standard ICONS Science-Layer Numbers:  </w:t>
      </w:r>
      <w:r>
        <w:rPr>
          <w:rFonts w:ascii="Arial" w:cs="Arial" w:eastAsia="Arial" w:hAnsi="Arial"/>
          <w:color w:val="2C2C2C"/>
          <w:sz w:val="17"/>
          <w:szCs w:val="17"/>
        </w:rPr>
        <w:t xml:space="preserve">ICONS's Evidence-Based Science Layer (protein/creatine tiers, ALST sarcopenia thresholds, the LIFTMOR postmenopausal bone-loading protocol, pelvic floor triggers) is derived specifically from research on women 40-65 navigating hormonal transitions — it doesn't transfer to a 25-year-old male client. This program instead uses the age/sex-appropriate research above. What does carry over from ICONS: the Isolated → Compound → Metabolic structural philosophy and RPE/RIR-based autoregulated progressive overload — both are demographic-neutral principles, applied here on their own merits.</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the treating PT/physician.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GLUTE MEDIUS + TRUNK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STRENGTH</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STRENGTH DEVELOPMENT</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See the Load &amp; Progression note above for weekly RPE targets. No axial spinal loading in this block — leg press seat/back fully supported.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New Addition — Not in the Original Source:  </w:t>
      </w:r>
      <w:r>
        <w:rPr>
          <w:rFonts w:ascii="Arial" w:cs="Arial" w:eastAsia="Arial" w:hAnsi="Arial"/>
          <w:color w:val="2C2C2C"/>
          <w:sz w:val="17"/>
          <w:szCs w:val="17"/>
        </w:rPr>
        <w:t xml:space="preserve">The source program has no dedicated conditioning component — added here to round out general cardiovascular health and complete the Isolated → Compound → Metabolic structure. Kept low-impact and QL-safe; skip or shorten if fatigue from the session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row or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STRENGTH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TRUNK /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STRENGTH DEVELOPMENT</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Slow lat/posterior chain on testing makes the right side the priority on the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New Addition — Not in the Original Source:  </w:t>
      </w:r>
      <w:r>
        <w:rPr>
          <w:rFonts w:ascii="Arial" w:cs="Arial" w:eastAsia="Arial" w:hAnsi="Arial"/>
          <w:color w:val="2C2C2C"/>
          <w:sz w:val="17"/>
          <w:szCs w:val="17"/>
        </w:rPr>
        <w:t xml:space="preserve">Same rationale as Day 1 — rounds out the conditioning gap in the source program. Kept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block already provides meaningful CNS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STRENGTH</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 neutral spine, symmetric setup both feet.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Cable/Band Row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w:t>
            </w:r>
          </w:p>
        </w:tc>
      </w:tr>
    </w:tbl>
    <w:p>
      <w:pPr>
        <w:spacing w:after="100"/>
      </w:pPr>
    </w:p>
    <w:p>
      <w:pPr>
        <w:spacing w:after="60" w:before="120"/>
      </w:pPr>
      <w:r>
        <w:rPr>
          <w:rFonts w:ascii="Arial" w:cs="Arial" w:eastAsia="Arial" w:hAnsi="Arial"/>
          <w:b/>
          <w:bCs/>
          <w:color w:val="C9A227"/>
          <w:sz w:val="17"/>
          <w:szCs w:val="17"/>
        </w:rPr>
        <w:t xml:space="preserve">D — STRENGTH DEVELOPMENT</w:t>
      </w:r>
    </w:p>
    <w:p>
      <w:pPr>
        <w:spacing w:after="80"/>
      </w:pPr>
      <w:r>
        <w:rPr>
          <w:rFonts w:ascii="Arial" w:cs="Arial" w:eastAsia="Arial" w:hAnsi="Arial"/>
          <w:b/>
          <w:bCs/>
          <w:color w:val="C9A227"/>
          <w:sz w:val="17"/>
          <w:szCs w:val="17"/>
        </w:rPr>
        <w:t xml:space="preserve">Trap Bar Deadlift Continued:  </w:t>
      </w:r>
      <w:r>
        <w:rPr>
          <w:rFonts w:ascii="Arial" w:cs="Arial" w:eastAsia="Arial" w:hAnsi="Arial"/>
          <w:color w:val="2C2C2C"/>
          <w:sz w:val="17"/>
          <w:szCs w:val="17"/>
        </w:rPr>
        <w:t xml:space="preserve">Trap bar deadlift (from Block B, load-graded per the Load &amp; Progression prescription) is this week's primary loaded strength lift — the dip/press rounds out upper body pressing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 (From Block B, Load-Graded)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Apply the Load &amp; Progression prescription to this lift specifically — see note above.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Dip / Close-Grip DB Floor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PT treatment of the QL tendinosis; coordinate with the treating provider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the treating PT/physician.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2026-08-10T22:35:47.416Z</dcterms:created>
  <dcterms:modified xsi:type="dcterms:W3CDTF">2026-08-10T22:35:47.430Z</dcterms:modified>
</cp:coreProperties>
</file>

<file path=docProps/custom.xml><?xml version="1.0" encoding="utf-8"?>
<Properties xmlns="http://schemas.openxmlformats.org/officeDocument/2006/custom-properties" xmlns:vt="http://schemas.openxmlformats.org/officeDocument/2006/docPropsVTypes"/>
</file>