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RPE</w:t>
            </w:r>
            <w:r>
              <w:rPr>
                <w:rFonts w:ascii="Arial" w:cs="Arial" w:eastAsia="Arial" w:hAnsi="Arial"/>
                <w:b/>
                <w:bCs/>
                <w:color w:val="00695C"/>
                <w:sz w:val="22"/>
                <w:szCs w:val="22"/>
              </w:rPr>
              <w:br/>
              <w:t xml:space="preserve">6-8</w:t>
            </w:r>
          </w:p>
          <w:p>
            <w:pPr>
              <w:jc w:val="center"/>
            </w:pPr>
            <w:r>
              <w:rPr>
                <w:rFonts w:ascii="Arial" w:cs="Arial" w:eastAsia="Arial" w:hAnsi="Arial"/>
                <w:color w:val="2C2C2C"/>
                <w:sz w:val="12"/>
                <w:szCs w:val="12"/>
              </w:rPr>
              <w:t xml:space="preserve">Glute Medius Reliability &amp; Trunk Extensor Foundation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RPE</w:t>
            </w:r>
            <w:r>
              <w:rPr>
                <w:rFonts w:ascii="Arial" w:cs="Arial" w:eastAsia="Arial" w:hAnsi="Arial"/>
                <w:b/>
                <w:bCs/>
                <w:color w:val="43A047"/>
                <w:sz w:val="22"/>
                <w:szCs w:val="22"/>
              </w:rPr>
              <w:br/>
              <w:t xml:space="preserve">6-8</w:t>
            </w:r>
          </w:p>
          <w:p>
            <w:pPr>
              <w:jc w:val="center"/>
            </w:pPr>
            <w:r>
              <w:rPr>
                <w:rFonts w:ascii="Arial" w:cs="Arial" w:eastAsia="Arial" w:hAnsi="Arial"/>
                <w:color w:val="2C2C2C"/>
                <w:sz w:val="12"/>
                <w:szCs w:val="12"/>
              </w:rPr>
              <w:t xml:space="preserve">Right-Side Posterior Chain &amp; Unilateral Symmetry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RPE</w:t>
            </w:r>
            <w:r>
              <w:rPr>
                <w:rFonts w:ascii="Arial" w:cs="Arial" w:eastAsia="Arial" w:hAnsi="Arial"/>
                <w:b/>
                <w:bCs/>
                <w:color w:val="C9A227"/>
                <w:sz w:val="22"/>
                <w:szCs w:val="22"/>
              </w:rPr>
              <w:br/>
              <w:t xml:space="preserve">6-8</w:t>
            </w:r>
          </w:p>
          <w:p>
            <w:pPr>
              <w:jc w:val="center"/>
            </w:pPr>
            <w:r>
              <w:rPr>
                <w:rFonts w:ascii="Arial" w:cs="Arial" w:eastAsia="Arial" w:hAnsi="Arial"/>
                <w:color w:val="2C2C2C"/>
                <w:sz w:val="12"/>
                <w:szCs w:val="12"/>
              </w:rPr>
              <w:t xml:space="preserve">Integration, Rate of Force Development &amp; Progression</w:t>
            </w:r>
          </w:p>
        </w:tc>
      </w:tr>
    </w:tbl>
    <w:p>
      <w:pPr>
        <w:spacing w:after="120"/>
      </w:pP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spread across 4–5 meals including a pre-sleep dose (pre-sleep protein improves overnight muscle protein synthesis). The g/kg range is the real prescription; the working figure of roughly 130–175g/day assumes a body weight that has not actually been recorded yet, so bring a single weigh-in to any session and this gets set exactly rather than estimated. Collagen: Shaw et al. (2017) dosed 15g vitamin-C-enriched gelatin one hour before loading, so the protocol here is 15g collagen peptides + ~50mg vitamin C taken 45–60 minutes before each of the three training sessions. Be clear-eyed about what this is for: it is a chronic, structural connective-tissue support protocol taken consistently across 12+ weeks — not a pre-workout that does anything for you on the day. Current evidence (a January 2026 umbrella review of 16 meta-analyses and 113 RCTs, plus a separate meta-analysis of 13 RCTs) finds a low-certainty benefit to tendon morphology, no measurable effect on tendon mechanical properties, and no added performance benefit on top of the training itself. Priority order, in plain terms: hit the protein target first, creatine second if you choose to use it, collagen third — it is the most speculative of the three and should never displace either. The loading in this program is the actual tendon intervention; collagen supports it and does not substitute for it. Continue alongside Jason Bethea's care.</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CORRECTIVE — GLUTE MEDIUS &amp;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COMPOUND — SINGLE-LEG HIP THRUST &amp; GOBLET SQUAT</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 If the day calls for a variation, these stay inside the QL rules — squat options: goblet squat (the version we track), box squat to a fixed height, or a heels-elevated goblet squat if ankle range limits depth; hip-thrust options: single-leg hip thrust (tracked), bilateral hip thrust, or a foot-elevated glute bridge. Every option keeps the rib cage stacked over the pelvis with no lateral shift, and none of them add loaded side-bending or single-arm overhead work — the two positions held back this phase.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ACCESSORY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SECONDARY COMPOUND — SUPPORTED LEG PRESS &amp; BENCH PRESS</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The day's second compound pattern, rotating off the squat and hip work above. See the Load &amp; Progression note for weekly RPE targets. No axial spinal loading in this block — the leg press seat and back stay fully supported, which is the whole reason this variation is here rather than a barbell squat. Options that keep that same fully-supported, non-axial requirement: a Total Gym leg press/squat slide, a machine hack-squat variation where the back is supported, or a supported single-leg press one side at a time. Press options: flat dumbbell bench press (tracked), barbell bench press, or a floor press if the shoulder prefers the shorter range. Every option keeps the trunk supported and the spine out of the load path.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METABOLIC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row or bike.</w:t>
      </w:r>
    </w:p>
    <w:p>
      <w:pPr>
        <w:spacing w:after="60" w:before="120"/>
      </w:pPr>
      <w:r>
        <w:rPr>
          <w:rFonts w:ascii="Arial" w:cs="Arial" w:eastAsia="Arial" w:hAnsi="Arial"/>
          <w:b/>
          <w:bCs/>
          <w:color w:val="E53935"/>
          <w:sz w:val="17"/>
          <w:szCs w:val="17"/>
        </w:rPr>
        <w:t xml:space="preserve">A — CORRECTIVE — ACTIVATION &amp; RIGHT-SIDE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COMPOUND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 Same-pattern options if the day calls for one, all right-led and all inside the QL rules — single-leg hinge: single-leg Romanian deadlift (the version we track), staggered-stance RDL with the back toe down, or a rack-supported single-leg RDL with a light hand touch for balance; row: single-arm dumbbell row (tracked), chest-supported row, or a single-arm landmine row; split-stance squat: rear-foot-elevated split squat (tracked), reverse lunge, or a box step-up. None of these add loaded lateral flexion or a suitcase carry on the symptomatic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ACCESSORY &amp; INTEGRATION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SECONDARY COMPOUND — VERTICAL PULL &amp; OVERHEAD PRESS</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The day's second compound pattern — vertical pulling and pressing, rotating off the unilateral lower work above. Slow lat/posterior chain on testing makes the right side the priority on the pull. Vertical pull options: weighted pull-up (tracked), the assisted pull-up machine, a Kieser or lat pulldown, or a band-assisted pull-up. Press options: standing barbell overhead press (tracked), seated dumbbell overhead press if standing lets the low back arch, or a landmine press. Note the phase rule that governs every option here — no heavy single-arm overhead work until the 4-week reassessment clears it, so any press alternate stays bilateral or light.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Kieser or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METABOLIC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work and the closing bilateral carry already provide meaningful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45–60 min before this session. 5 min easy bike.</w:t>
      </w:r>
    </w:p>
    <w:p>
      <w:pPr>
        <w:spacing w:after="60" w:before="120"/>
      </w:pPr>
      <w:r>
        <w:rPr>
          <w:rFonts w:ascii="Arial" w:cs="Arial" w:eastAsia="Arial" w:hAnsi="Arial"/>
          <w:b/>
          <w:bCs/>
          <w:color w:val="E53935"/>
          <w:sz w:val="17"/>
          <w:szCs w:val="17"/>
        </w:rPr>
        <w:t xml:space="preserve">A — CORRECTIVE — ACTIVATION &amp; FIRST DYNAMIC-ADJACENT TRUNK WORK</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COMPOUND — TRAP BAR DEADLIFT</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and the number tracked into the 4-week retest — neutral spine, symmetric setup both feet. Hinge options if the day calls for one, all keeping the load line symmetrical and the spine neutral: elevated-handle or block-height trap bar pulls (shorter range on a stiff day), a rack pull from just below the knee, or a supported hip-hinge machine variation. Conventional and sumo barbell deadlifts are deliberately NOT offered this phase — the trap bar's centred load line is the reason this variation was chosen over a barbell for a symptomatic QL, and swapping it out would defeat that. Step-up options: box step-up (tracked), split squat, or reverse lunge. Row options: bilateral standing row (tracked), chest-supported row, or a seated Kieser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Row (Kieser,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ACCESSORY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bl>
    <w:p>
      <w:pPr>
        <w:spacing w:after="100"/>
      </w:pPr>
    </w:p>
    <w:p>
      <w:pPr>
        <w:spacing w:after="60" w:before="120"/>
      </w:pPr>
      <w:r>
        <w:rPr>
          <w:rFonts w:ascii="Arial" w:cs="Arial" w:eastAsia="Arial" w:hAnsi="Arial"/>
          <w:b/>
          <w:bCs/>
          <w:color w:val="C9A227"/>
          <w:sz w:val="17"/>
          <w:szCs w:val="17"/>
        </w:rPr>
        <w:t xml:space="preserve">D — SECONDARY COMPOUND — PRESS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day's second compound pattern — pressing, rotating off the trap bar and jump work above, and rounding out the week's upper-body pushing volume. The trap bar prescription for this session lives in Block B above and is not repeated here. Press options: close-grip dumbbell floor press (the version we track — shortest, most shoulder-friendly range), flat dumbbell bench press, or a weighted dip where a dip station is available. Full but pain-free range on whichever one runs.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Close-Grip DB Floor Press (or Weighted Dip)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60" w:before="120"/>
      </w:pPr>
      <w:r>
        <w:rPr>
          <w:rFonts w:ascii="Arial" w:cs="Arial" w:eastAsia="Arial" w:hAnsi="Arial"/>
          <w:b/>
          <w:bCs/>
          <w:color w:val="C9A227"/>
          <w:sz w:val="17"/>
          <w:szCs w:val="17"/>
        </w:rPr>
        <w:t xml:space="preserve">E — FULL-BODY INTEGRATION — BILATERAL FARMER'S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and the one place in this phase where loaded carrying is reintroduced — bilateral only, symmetric by design, so nothing pulls the trunk into side-bending. It puts the whole day together at once: the glute medius reliability built in the activation block, the trunk extensor capacity from Days 1-2, and the neutral-spine bracing from the trap bar, all held under load while walking. Load stays moderate and does not run ahead of the trap bar work above. Position is coach-selectable: if trunk posture degrades at the end of the session, run this carry immediately after the primary block instead — the carry itself is the prescription, not its slot in the order. Variations, all bilateral this phase: two-hand dumbbell farmer's carry (the version we track), trap-bar carry, or a front-racked/goblet carry. Single-side suitcase carries on the symptomatic side stay held back until the 4-week reassessment clears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held below the day's trap bar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 Tall ribs, level pelvis, no side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2026-08-21T15:22:48.438Z</dcterms:created>
  <dcterms:modified xsi:type="dcterms:W3CDTF">2026-08-21T15:22:48.438Z</dcterms:modified>
</cp:coreProperties>
</file>

<file path=docProps/custom.xml><?xml version="1.0" encoding="utf-8"?>
<Properties xmlns="http://schemas.openxmlformats.org/officeDocument/2006/custom-properties" xmlns:vt="http://schemas.openxmlformats.org/officeDocument/2006/docPropsVTypes"/>
</file>