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DUMBBELL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00"/>
        <w:jc w:val="center"/>
      </w:pPr>
      <w:r>
        <w:rPr>
          <w:rFonts w:ascii="Arial" w:cs="Arial" w:eastAsia="Arial" w:hAnsi="Arial"/>
          <w:i/>
          <w:iCs/>
          <w:color w:val="6B6B6B"/>
          <w:sz w:val="17"/>
          <w:szCs w:val="17"/>
        </w:rPr>
        <w:t xml:space="preserve">Trainer: Nick  ·  2 Days/Week  ·  Dumbbell ≤20 lb · Resistance Band · Bodyweight  ·  No age/sex/Styku data on file</w:t>
      </w: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program is built around a genuinely light, constrained equipment set, per real-time programming feedback from Nick: dumbbells up to 20 lbs (a hard ceiling, not a soft guideline), a resistance band, bodyweight, and one sturdy elevated surface — a step, chair, or couch, not a bench, per Sarah’s preference — for the one exercise that genuinely needs elevation, DB Hip Thrust. No cable machine and no barbell appear anywhere in this program. If this equipment assumption is wrong, flag it to your coach right away so loads and exercise selection can be corrected before Sarah trains from this document.</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No age, sex, weight, or Styku scan exists on file for Sarah at all — this is one level further than a client who simply falls outside a bracket (e.g. Jake Poyner, Vinz Feller): there is no demographic or clinical data of any kind to place her in a bracket to begin with. None of CLAUDE.md’s Evidence-Based Science Layer numeric thresholds (protein/creatine tiers, ALST sarcopenia cutoffs, VFA, BMI flags, LIFTMOR bone-loading candidacy, pelvic floor triggers) can be computed or applied here — not omitted by oversight, genuinely unattachable to nothing. Per CLAUDE.md’s Demographic Scope Rule, this program applies only the sex-neutral structural philosophy: the Isolated → Compound → Metabolic three-zone build and RIR-based autoregulated progressive overload, both stated in CLAUDE.md as genuinely demographic-neutral principles. `includeNutritionBlock: false`, and `client.weightKg`/`ageYears`/`alstIndex`/`isPostmenopausal` are all left unset rather than fabricated, so `proteinBar()`/`pelvicFloorCallout()` correctly never fire. Revisit this note the moment age, sex, weight, or a Styku scan is ever added to her intake record.</w:t>
      </w:r>
    </w:p>
    <w:p>
      <w:pPr>
        <w:spacing w:after="100"/>
      </w:pPr>
      <w:r>
        <w:rPr>
          <w:rFonts w:ascii="Arial" w:cs="Arial" w:eastAsia="Arial" w:hAnsi="Arial"/>
          <w:b/>
          <w:bCs/>
          <w:color w:val="00695C"/>
          <w:sz w:val="17"/>
          <w:szCs w:val="17"/>
        </w:rPr>
        <w:t xml:space="preserve">Source of Programming Data — Trainer Voice Note, Not a Styku/PARQ Intake:  </w:t>
      </w:r>
      <w:r>
        <w:rPr>
          <w:rFonts w:ascii="Arial" w:cs="Arial" w:eastAsia="Arial" w:hAnsi="Arial"/>
          <w:color w:val="2C2C2C"/>
          <w:sz w:val="17"/>
          <w:szCs w:val="17"/>
        </w:rPr>
        <w:t xml:space="preserve">The constraints and structure behind this build come from a voice note from Nick, one of Sarah’s trainers, who has been training her consistently for the past several sessions — relayed by Xolokan on 8/18/2026. This is real-time trainer/movement feedback, not a formal Styku scan or PAR-Q intake questionnaire; no age, sex, weight, height, or strength-testing numbers exist for her anywhere in this system as of this build. Per this system’s standing rule to read a client’s full existing record before any build: her only prior record was a two-line pre-repo legacy outline (a bench-press/cable-pull/squat+OHP-superset 2-day "Athletic Strength" program, no `clients/sarah/` folder, no build script, nothing in Drive) — that outline is explicitly SUPERSEDED, not merged, by this build, since most of its structure conflicts directly with Nick’s current constraints (bench, cable machine, heavier squat/press loading). Exactly one detail was carried forward, confirmed compatible with the new constraints and a real prior client preference rather than a fabrication: single-arm DB row programmed only in superset, never standalone — see Day A, Block B.</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Includes the one short-ROM hip-hinge pattern-maintenance drill in this program (DB RDL, Short-ROM). Judgment call, stated here rather than left implicit: DB Hip Thrust and Glute Bridge already carry Sarah’s primary hip-extension training role throughout this program precisely because they don’t require a sustained flat-back hinge under load — but a brief, technique-only, mid-shin-range hinge rehearsal (not a working strength lift) keeps the pattern itself from going completely untrained, at a dose and load low enough that her current hip-hinge/hamstring limitation stays the priority, not an afterthought.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per CLAUDE.md’s "Full Range of Motion — With Control, Not At Its Expense" philosophy. DB Hip Thrust uses the elevated surface (step/chair/couch) — the only exercise in this program that needs it. Standing Press and Single-Arm Row run as a superset — no rest between the two, straight from one into the other — carried forward from Sarah’s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Step/Chair/Couch)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elevated surface,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Sarah’s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Step/Chair/Couch)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elevated surface,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elevated surface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Elevated Surface)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surface,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equipment assumption,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equipment ceiling, that’s the moment to discuss access to heavier dumbbells or additional equipment.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exists for Sarah,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Dumbbell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2026-08-18T14:22:56.987Z</dcterms:created>
  <dcterms:modified xsi:type="dcterms:W3CDTF">2026-08-18T14:22:56.987Z</dcterms:modified>
</cp:coreProperties>
</file>

<file path=docProps/custom.xml><?xml version="1.0" encoding="utf-8"?>
<Properties xmlns="http://schemas.openxmlformats.org/officeDocument/2006/custom-properties" xmlns:vt="http://schemas.openxmlformats.org/officeDocument/2006/docPropsVTypes"/>
</file>