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3-DAY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MODERATE STRENGTH &amp; METABOLIC CONDITIONING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Johanna Castillo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51  ·  5'4"  ·  172 lbs  ·  3-Day Program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491"/>
        <w:gridCol w:w="1491"/>
        <w:gridCol w:w="1491"/>
        <w:gridCol w:w="1491"/>
        <w:gridCol w:w="1492"/>
        <w:gridCol w:w="1492"/>
        <w:gridCol w:w="1492"/>
      </w:tblGrid>
      <w:tr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17"/>
                <w:szCs w:val="17"/>
              </w:rPr>
              <w:t xml:space="preserve">MON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22"/>
                <w:szCs w:val="22"/>
              </w:rPr>
              <w:t xml:space="preserve">—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Off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7"/>
                <w:szCs w:val="17"/>
              </w:rPr>
              <w:t xml:space="preserve">TUE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22"/>
                <w:szCs w:val="22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Full Body Strength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&amp; Conditioning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17"/>
                <w:szCs w:val="17"/>
              </w:rPr>
              <w:t xml:space="preserve">WED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22"/>
                <w:szCs w:val="22"/>
              </w:rPr>
              <w:t xml:space="preserve">—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Off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7"/>
                <w:szCs w:val="17"/>
              </w:rPr>
              <w:t xml:space="preserve">THU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22"/>
                <w:szCs w:val="22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Lower Body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Technique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17"/>
                <w:szCs w:val="17"/>
              </w:rPr>
              <w:t xml:space="preserve">FRI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22"/>
                <w:szCs w:val="22"/>
              </w:rPr>
              <w:t xml:space="preserve">—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Off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7"/>
                <w:szCs w:val="17"/>
              </w:rPr>
              <w:t xml:space="preserve">SAT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22"/>
                <w:szCs w:val="22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Upper Body &amp;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Posterior Chain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17"/>
                <w:szCs w:val="17"/>
              </w:rPr>
              <w:t xml:space="preserve">SUN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22"/>
                <w:szCs w:val="22"/>
              </w:rPr>
              <w:t xml:space="preserve">—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Off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ALST Index Optimal — 7.23 kg/m²: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Above the 7.0 kg/m² EWGSOP2 optimal threshold. This program layers strength maintenance under a fat-loss/cardiometabolic focus rather than muscle-building-primary — loads hold at tested baselines while the conditioning finisher does the heavy lifting on body composition.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VFA 142.7 cm² — Moderate Cardiometabolic Risk: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Falls in the 100–149 cm² moderate-risk band. Drives the metabolic finisher on every training day — brisk, sustainable conditioning, not max-effort testing.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Body Fat 40.4% At-Risk: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Tracked alongside VFA as the cardiometabolic/fat-loss priority for this block. Reassess at the 8-week Styku rescan.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Left Leg Asymmetry — 17.5 vs 18.0 lbs LST: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Gap of 0.5 lbs meets the asymmetry protocol trigger. LEFT leg leads every unilateral lower-body exercise. Log left vs. right loads separately.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Right Arm — 8.4 vs 8.7 lbs LST (Monitor Only):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Gap of 0.3 lbs sits below the 0.5 lb asymmetry-protocol threshold. Logged per side on single-arm row and suitcase carry as routine monitoring, not a formal lead-side prescription.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Squat &amp; Deadlift — Baseline Established This Week: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Not part of the initial testing battery. Today's working loads (Goblet Squat 20 lbs, Trap Bar Deadlift 45 lbs) become the new 8-week baseline — track progression from here.</w:t>
      </w:r>
    </w:p>
    <w:p>
      <w:pPr>
        <w:spacing w:after="8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Evidence-Based Nutrition Targets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Daily Protein Target:  </w:t>
      </w:r>
      <w:r>
        <w:rPr>
          <w:rFonts w:ascii="Arial" w:cs="Arial" w:eastAsia="Arial" w:hAnsi="Arial"/>
          <w:b/>
          <w:bCs/>
          <w:color w:val="2C2C2C"/>
          <w:sz w:val="20"/>
          <w:szCs w:val="20"/>
        </w:rPr>
        <w:t xml:space="preserve">156–172g/day</w:t>
      </w:r>
      <w:r>
        <w:rPr>
          <w:rFonts w:ascii="Arial" w:cs="Arial" w:eastAsia="Arial" w:hAnsi="Arial"/>
          <w:color w:val="6B6B6B"/>
          <w:sz w:val="15"/>
          <w:szCs w:val="15"/>
        </w:rPr>
        <w:t xml:space="preserve">  (2.0–2.2 g/kg — 50+ tier)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~31g per meal minimum (leucine threshold), distributed across 4+ meals/day.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B71C1C"/>
          <w:sz w:val="17"/>
          <w:szCs w:val="17"/>
        </w:rPr>
        <w:t xml:space="preserve">Creatine — Strongly Indicated: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Postmenopausal status. Prescribe 3–5g creatine monohydrate daily with food, no loading phase. Saturates in 3–4 weeks. Well-supported for strength, power, and cognition; bone-density evidence is mixed, not settled — a possible upside alongside LIFTMOR-style loading, not a substitute for it.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Collagen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15g collagen peptides + 50mg Vitamin C, taken 30–60 minutes before the loading session. Doubles collagen synthesis markers when paired with mechanical load (Shaw et al. 2017).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1 — FULL BODY STRENGTH &amp; METABOLIC CONDITIONING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Moderate Strength + Cardiometabolic Priority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MODERATE STRENGTH · VOLUME BUILD · CONDITIONING PRIORITY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70%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Moderate strength, building volume without peak CNS demand. Loads sit on today's tested baselines (Hip Thrust, Seated OHP) while a conditioning finisher supports the VFA and body-fat priority from your Styku scan. This is strength maintenance layered under fat-loss focus, not muscle-building-primary — your ALST is already optimal at 7.23 kg/m².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 bike, band pull-aparts x15, bodyweight squat x10, glute bridge x10, arm circles x10/direction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Brace before lifting, exhale on exertion — no breath-holding.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A — GLUTE ACTIVATION &amp; CORE BRACING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Bracing pattern rehearsed here carries directly into the loaded hip thrust and carry work in Block B/C.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Banded Glute Bridge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mini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Squeeze glutes, ribs down, band stays taut.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Bug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Brace low back flat, slow controlled reach.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Bird Dog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spine, reach long, no hip rotation.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PRIMARY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Working sets at 70% — 2 RIR.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Hip Thrust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Brace + exhale on exertion — pelvic floor cue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through heels, glutes lock at top.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Seated DB Overhead Press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17.5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Ribs stacked over hips, press straight up.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Chest-Supported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Squeeze shoulder blades, elbows track back.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 — ACCESSORY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Farmers Carry is bilateral load-bearing — same pelvic floor bracing cue applies before every pass.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Push-Up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 (bench)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Hands under shoulders, chest to bench, brace.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Farmers Carry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Brace before lifting — pelvic floor cue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yd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Tall posture, ribs down, quick tight steps.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sec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hold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Ribs down, glutes tight, breathe steady.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D — METABOLIC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Short conditioning finisher supports the cardiometabolic/fat-loss priority driven by elevated VFA and body fat %. Brisk and sustainable — not a max-effort test.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Kettlebell Swing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sec on/40 off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 hip snap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sec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Hinge, snap hips, arms stay relaxed.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Step-Up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sec on/40 off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sec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through full foot, stand tall at top.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Couch stretch 30s/side, doorway chest stretch 30s/side, child's pose 45s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Cardiometabolic priority this block — VFA 142.7 cm² and body fat 40.4% drive the conditioning finisher. Keep bracing before every hip thrust and carry rep, exactly as flagged above.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6"/>
                <w:szCs w:val="26"/>
              </w:rPr>
              <w:t xml:space="preserve">DAY 2 — LOWER BODY TECHNIQUE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Squat &amp; Deadlift Introduction + Left-Leg Asymmetry Protocol</w:t>
            </w:r>
          </w:p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TECHNIQUE DAY · LIGHTER LOADS · FULL ATTENTION TO FORM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60%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Squat and deadlift were not tested in the initial battery, so today's loads are deliberately light and become the new 8-week baseline. Left leg leads every unilateral set — Styku segmental LST shows a 0.5 lb deficit (17.5 vs 18.0 lbs), exactly at the asymmetry protocol trigger. Work every set at 3+ RIR.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 bike, hip circles x10/direction, banded lateral walk x10/side, bodyweight squat x10, glute bridge x10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Brace before lifting, exhale on exertion — no breath-holding.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A — MOVEMENT PREP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General hip and glute activation before the squat and unilateral patterns below.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Banded Lateral Walk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steps/side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mini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continuous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Band above knees, push knees out, stay low.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Bodyweight Squat to Box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Sit back to box, knees track over toes.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B — PRIMARY STRENGTH — TECHNIQUE INTRODUCTION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No baseline was recorded for squat or deadlift. Loads stay light; the goal is a clean, repeatable pattern for 8-week testing, not load.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inside knees, chest tall, full depth.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3+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Trap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Flat back, brace, push floor away evenly.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3+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C — UNILATERAL LEG — LEFT-LED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Styku scan shows a 0.5 lb left-leg deficit (L 17.5 / R 18.0) — at the asymmetry trigger threshold. Left leg leads every set below; log reps per side.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leg weaker (Styku) — leads every set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22.5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Left leg first. Hinge, flat back, soft knee.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Reverse Lunge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leg leads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Left leg first. Knee tracks over mid-foot.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D — METABOLIC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Low-impact conditioning to close the session without adding lower-body fatigue that would compromise squat/deadlift technique tracking.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Rowing Machine Intervals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 sec on/30 off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steady power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 sec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Legs drive first, then lean, then pull.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March w/ Band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Knee to hip height, stand tall, no lean.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Couch stretch 30s/side, standing quad stretch 30s/side, child's pose 45s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First exposure to squat and deadlift patterns — log today's working loads as the new baseline for 8-week testing. Left leg leads all unilateral work this block; track the L/R gap at rescan.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3 — UPPER BODY &amp; POSTERIOR CHAIN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Pressing/Pulling Strength + Metabolic Finisher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MODERATE STRENGTH · VOLUME BUILD · CONDITIONING PRIORITY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70%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Moderate strength, building pressing/pulling volume without peak CNS demand. Single-arm row and suitcase carry are logged per side given the marginal right-arm deficit on Styku (0.3 lb gap — below the formal 0.5 lb trigger, tracked as routine monitoring).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 bike, band pull-apart x15, scapular wall slide x10, arm circles x10/direction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Brace before lifting, exhale on exertion — no breath-holding.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A — SCAPULAR ACTIVATION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Shoulder prep before pressing and rowing loads.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Squeeze shoulder blades, elbows stay straight.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Scapular Wall Slide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Ribs down, slide arms, keep low back flat.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PRIMARY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Working sets at 70% — 2 RIR on all sets.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Bent-Over DB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Flat back, pull to hip, squeeze at top.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Press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Ribs down, press up and slightly in.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 — ACCESSORY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Suitcase carry loads the pelvic floor bracing pattern under single-side load — same cue as flagged above. Single-arm row and suitcase carry track L/R per the marginal Styku arm gap.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DB Row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Log reps per side — track L/R (Styku)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Brace on bench, pull to hip, no rotation.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Suitcase Carry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Brace before lifting — pelvic floor cue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 yd/side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Ribs stacked, resist leaning, quick steps.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sec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hold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Ribs down, glutes tight, breathe steady.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D — METABOLIC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Closing conditioning block supports the cardiometabolic/fat-loss priority. Brisk and sustainable — not a max-effort test.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Bike Sprint Intervals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sec on/40 off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high effort, 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sec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Brisk and sustainable — not a max effort test.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Bodyweight Squat to Stand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stand each rep, exhale on the way up.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Doorway chest stretch 30s/side, lat stretch 30s/side, cat-cow x8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Log single-arm row and suitcase carry reps per side — right arm is marginally lighter on Styku (8.4 vs 8.7 lbs) though below the formal asymmetry trigger. Keep bracing on the suitcase carry, as flagged above.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Johanna Castillo  ·  ICONS Index  ·  Moderate Strength &amp; Metabolic Conditioning Build  ·  Week 1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70%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Full Body Strength &amp; Metabolic Conditioning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DB Hip Thrust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Working loads hold at tested baseline; conditioning finisher drives VFA/body-fat priority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60%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Lower Body Technique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Goblet Squat / Trap Bar Deadlift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New baseline established — left leg leads all unilateral work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70%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Upper Body &amp; Posterior Chain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Bent-Over DB Row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Single-arm row &amp; suitcase carry tracked per side — monitor right-arm gap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Squat 25–27.5 lbs × 8 @ 2–3 RIR. Trap bar deadlift 55–60 lbs × 6. Hip thrust progressing toward 70 lbs. Left-leg single-leg RDL load matched to right within 10%.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Squat/deadlift 8-week retest against today's new baseline. VFA and body fat % trending down from 142.7 cm² / 40.4%. Left/right leg LST gap reduced from 0.5 lbs. Hip thrust and OHP progressed from current working loads.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Rebook Styku scan at 8 weeks. Track: VFA and body fat % direction, left/right leg LST gap (baseline 0.5 lb), right arm LST gap (baseline 0.3 lb, monitor for trigger), ALST maintenance (currently optimal at 7.23 kg/m²).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Johanna Castillo.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Johanna Castillo  |  3-Day Training Plan  |  Tue/Thu/Sat Gym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JOHANNA CASTILLO  |  Moderate Strength &amp; Metabolic Conditioning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2026-08-12T15:11:34.517Z</dcterms:created>
  <dcterms:modified xsi:type="dcterms:W3CDTF">2026-08-12T15:11:34.517Z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