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falls in the Normal/monitor tier per our 3-tier table (&lt;5.5 At-Risk / 5.5-6.99 Normal-monitor / ≥7.0 Optimal), but only 0.02 kg/m² above the At-Risk cutoff — genuinely borderline, and worth close attention at the next rescan rather than treated as comfortably clear. VFA 62.0 cm² — Very Low Risk per our precise VFA table (&lt;70 cm² threshold); Styku's own dashboard tag on this scan reads "Low Risk," but our table's more precise banding places her in the more favorable Very Low Risk tier — using the correct, more precise tier here rather than Styku's coarser label.</w:t>
      </w:r>
    </w:p>
    <w:p>
      <w:pPr>
        <w:spacing w:after="100"/>
      </w:pPr>
      <w:r>
        <w:rPr>
          <w:rFonts w:ascii="Arial" w:cs="Arial" w:eastAsia="Arial" w:hAnsi="Arial"/>
          <w:b/>
          <w:bCs/>
          <w:color w:val="E65100"/>
          <w:sz w:val="17"/>
          <w:szCs w:val="17"/>
        </w:rPr>
        <w:t xml:space="preserve">Segmental Asymmetry — Legs At Threshold, Protocol Triggered:  </w:t>
      </w:r>
      <w:r>
        <w:rPr>
          <w:rFonts w:ascii="Arial" w:cs="Arial" w:eastAsia="Arial" w:hAnsi="Arial"/>
          <w:color w:val="2C2C2C"/>
          <w:sz w:val="17"/>
          <w:szCs w:val="17"/>
        </w:rPr>
        <w:t xml:space="preserve">Arms: Left 7.3 lbs / Right 7.2 lbs — 0.1 lb gap, below the 0.5 lb asymmetry-protocol threshold — monitor only, no unilateral-lead requirement. Legs: Left 14.6 lbs / Right 15.1 lbs — exactly 0.5 lbs, landing precisely AT the asymmetry-protocol trigger. Consistent with the Johanna Castillo precedent, an exact-threshold gap is treated as triggering the full protocol, not as a borderline non-trigger. LEFT leg (lower LST) is weaker and leads every unilateral leg exercise in this program — split stance squat, step-up, and single-leg RDL all list LEFT first below.</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already reflect the 50+ escalation (2.0-2.2 g/kg, creatine strongly indicated) appropriate to either bracket.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E65100"/>
          <w:sz w:val="17"/>
          <w:szCs w:val="17"/>
        </w:rPr>
        <w:t xml:space="preserve">Menopausal Status — Unconfirmed, Flagged for Next Intake:  </w:t>
      </w:r>
      <w:r>
        <w:rPr>
          <w:rFonts w:ascii="Arial" w:cs="Arial" w:eastAsia="Arial" w:hAnsi="Arial"/>
          <w:color w:val="2C2C2C"/>
          <w:sz w:val="17"/>
          <w:szCs w:val="17"/>
        </w:rPr>
        <w:t xml:space="preserve">No menopausal status was stated by the trainer at intake — isPostmenopausal is left unconfirmed here rather than fabricated. At 55, Mary is at or past the average age of menopause onset (~51), and this program includes real, heavy hip-thrust, squat, and deadlift loading — exactly the pattern the pelvic floor protocol exists to safeguard. Per CLAUDE.md's Perimenopausal Status guidance, the transition window itself (not just confirmed postmenopausal status) carries elevated stress-urinary-incontinence risk, so this is not a low-stakes unknown. Confirming her actual status is worth doing at the next intake conversation given how load-bearing that determination is for whether the pelvic floor safety callout should be running on every heavy day. Until confirmed, coach standard pelvic floor bracing and exhale-on-exertion cues verbally on all heavy hinge and squat work as a precaution, independent of what this document auto-generates.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~25g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60" w:before="120"/>
      </w:pPr>
      <w:r>
        <w:rPr>
          <w:rFonts w:ascii="Arial" w:cs="Arial" w:eastAsia="Arial" w:hAnsi="Arial"/>
          <w:b/>
          <w:bCs/>
          <w:color w:val="C9A227"/>
          <w:sz w:val="17"/>
          <w:szCs w:val="17"/>
        </w:rPr>
        <w:t xml:space="preserve">A — PRIMARY HINGE STRENGTH</w:t>
      </w:r>
    </w:p>
    <w:p>
      <w:pPr>
        <w:spacing w:after="80"/>
      </w:pPr>
      <w:r>
        <w:rPr>
          <w:rFonts w:ascii="Arial" w:cs="Arial" w:eastAsia="Arial" w:hAnsi="Arial"/>
          <w:b/>
          <w:bCs/>
          <w:color w:val="C9A227"/>
          <w:sz w:val="17"/>
          <w:szCs w:val="17"/>
        </w:rPr>
        <w:t xml:space="preserve">Hex Deadlift &amp; Hip Thrust — Epley 1RM 181 / 105 lbs:  </w:t>
      </w:r>
      <w:r>
        <w:rPr>
          <w:rFonts w:ascii="Arial" w:cs="Arial" w:eastAsia="Arial" w:hAnsi="Arial"/>
          <w:color w:val="2C2C2C"/>
          <w:sz w:val="17"/>
          <w:szCs w:val="17"/>
        </w:rPr>
        <w:t xml:space="preserve">Both lifts tested at 90+ lbs for 5 reps — a genuinely strong starting point. Week 1 trains at 80% of Epley 1RM to lock in hip hinge mechanics under real load; by Week 4 both lifts climb to 93% of Epley 1RM, above the originally tested 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lower leg LST (14.6 vs 15.1 lbs), asymmetry-protocol trigger at exactly 0.5 lb gap.</w:t>
            </w:r>
          </w:p>
        </w:tc>
      </w:tr>
    </w:tbl>
    <w:p>
      <w:pPr>
        <w:spacing w:after="100"/>
      </w:pPr>
    </w:p>
    <w:p>
      <w:pPr>
        <w:spacing w:after="60" w:before="120"/>
      </w:pPr>
      <w:r>
        <w:rPr>
          <w:rFonts w:ascii="Arial" w:cs="Arial" w:eastAsia="Arial" w:hAnsi="Arial"/>
          <w:b/>
          <w:bCs/>
          <w:color w:val="C9A227"/>
          <w:sz w:val="17"/>
          <w:szCs w:val="17"/>
        </w:rPr>
        <w:t xml:space="preserve">B — PRIMARY PULL STRENGTH</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Single-arm row tested at 30 lbs for 5 reps and climbs from there; bent-over bilateral row and face pull round out the pulling volume, balancing the pressing work on Day 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A 2:03 plank hold is exceptional — well past the 60-second ICONS threshold. Carries build the deep spinal stabilizer strength (multifidus, QL) that supports posture under all the compound lifts above. Both are descriptive/reference loads, not 1RM-calculated.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D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60" w:before="120"/>
      </w:pPr>
      <w:r>
        <w:rPr>
          <w:rFonts w:ascii="Arial" w:cs="Arial" w:eastAsia="Arial" w:hAnsi="Arial"/>
          <w:b/>
          <w:bCs/>
          <w:color w:val="43A047"/>
          <w:sz w:val="17"/>
          <w:szCs w:val="17"/>
        </w:rPr>
        <w:t xml:space="preserve">A — PRIMARY LOWER — SQUAT &amp; SPLIT SQUAT</w:t>
      </w:r>
    </w:p>
    <w:p>
      <w:pPr>
        <w:spacing w:after="80"/>
      </w:pPr>
      <w:r>
        <w:rPr>
          <w:rFonts w:ascii="Arial" w:cs="Arial" w:eastAsia="Arial" w:hAnsi="Arial"/>
          <w:b/>
          <w:bCs/>
          <w:color w:val="43A047"/>
          <w:sz w:val="17"/>
          <w:szCs w:val="17"/>
        </w:rPr>
        <w:t xml:space="preserve">Back Squat &amp; Split Stance Squat — Epley 1RM 105 / 20 lbs:  </w:t>
      </w:r>
      <w:r>
        <w:rPr>
          <w:rFonts w:ascii="Arial" w:cs="Arial" w:eastAsia="Arial" w:hAnsi="Arial"/>
          <w:color w:val="2C2C2C"/>
          <w:sz w:val="17"/>
          <w:szCs w:val="17"/>
        </w:rPr>
        <w:t xml:space="preserve">Back squat tested at 90 lbs for 5 reps; split stance DB squat tested at 17.5 lbs/hand for 5 reps. LEFT leg leads every unilateral exercise here — legs sit exactly at the 0.5 lb asymmetry-protocol trigger (14.6 vs 15.1 lbs), per the Johanna Castillo precedent.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p>
        </w:tc>
      </w:tr>
    </w:tbl>
    <w:p>
      <w:pPr>
        <w:spacing w:after="100"/>
      </w:pPr>
    </w:p>
    <w:p>
      <w:pPr>
        <w:spacing w:after="60" w:before="120"/>
      </w:pPr>
      <w:r>
        <w:rPr>
          <w:rFonts w:ascii="Arial" w:cs="Arial" w:eastAsia="Arial" w:hAnsi="Arial"/>
          <w:b/>
          <w:bCs/>
          <w:color w:val="43A047"/>
          <w:sz w:val="17"/>
          <w:szCs w:val="17"/>
        </w:rPr>
        <w:t xml:space="preserve">B — PRIMARY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Bench press tested at 65 lbs for 5 reps. Five clean reps per grip on assisted pull-ups (close, standard, wide) is a strong starting point — close grip leads every session as the least shoulder strain and easiest to add volume to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track ALST Index closely given the current 5.52 kg/m² reading sits only 0.02 kg/m² above the At-Risk cutoff (do not assume it stays clear of the threshold without confirming), VFA trend (currently 62.0 cm², Very Low Risk — maintain), and the leg segmental gap (currently exactly 0.5 lbs, at the asymmetry-protocol trigger — should trend down with the LEFT-leads unilateral protocol).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2026-08-12T15:11:37.345Z</dcterms:created>
  <dcterms:modified xsi:type="dcterms:W3CDTF">2026-08-12T15:11:37.345Z</dcterms:modified>
</cp:coreProperties>
</file>

<file path=docProps/custom.xml><?xml version="1.0" encoding="utf-8"?>
<Properties xmlns="http://schemas.openxmlformats.org/officeDocument/2006/custom-properties" xmlns:vt="http://schemas.openxmlformats.org/officeDocument/2006/docPropsVTypes"/>
</file>