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and for Vinz Feller's 7.55 kg/m² reading); Moe sits comfortably above the line — this is the clinically-governing figure for his muscle-mass status, see the note below for how it relates to Styku's own internal flag. VFA 87.1 cm² falls in the ICONS VFA table's Low Risk band (70-99 cm²), validated sex-independent and applied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a genuinely different situation from Vinz Feller's document, where Styku's "Average" peer-comparison label diverged from an ACE "Obese" reading.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above the 0.5 lb Asymmetry Protocol trigger. Standard ICONS protocol applied: the left leg leads every unilateral leg exercise (single-leg RDL, any split-stance work), the left side is logged separately from the right in the coaching cue, and any suitcase-style carry work has the left hand hold the load. Left Arm LST 12.3 lbs vs Right Arm LST 12.7 lbs — only a 0.4 lb gap, below the 0.5 lb trigger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assisted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body fat % trend, and left/right leg LST gap reduction (target: under 0.5 lbs),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2026-08-12T15:11:35.048Z</dcterms:created>
  <dcterms:modified xsi:type="dcterms:W3CDTF">2026-08-12T15:11:35.048Z</dcterms:modified>
</cp:coreProperties>
</file>

<file path=docProps/custom.xml><?xml version="1.0" encoding="utf-8"?>
<Properties xmlns="http://schemas.openxmlformats.org/officeDocument/2006/custom-properties" xmlns:vt="http://schemas.openxmlformats.org/officeDocument/2006/docPropsVTypes"/>
</file>