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— within the normal reference range (&gt;=5.5 kg/m²), NOT At-Risk, but only 0.02 kg/m² above the At-Risk cutoff — genuinely borderline, and worth close attention at the next rescan rather than treated as comfortably clear; ALST is tracked here as a trend metric, not a graded score, and no higher tier exists above the 5.5 kg/m² cutoff for women — the 7.0 kg/m² figure previously used as an upper tier is EWGSOP2's separate MALE at-risk threshold, not a female target. VFA (Segmental Analysis): 20.1 cm² — presented as a trend/context figure to track over time rather than a risk-band label; CLAUDE.md's prior absolute VFA risk-band table (which this document previously cited to assign this reading a risk-band label of its own, itself a correction of the band Styku's dashboard prints for it) was retired 8/17/2026 as unsupported by consensus guidance and by this scanner's own validation limits (Styku's VFA output was validated against DXA in kilograms, never in cm²).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Asymmetry Trigger Recalculation — Flagged Discrepancy (8/17/2026):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Asymmetry Protocol trigger was corrected 8/17/2026 from an absolute &gt;=0.5 lb L/R gap to a relative &gt;=10% gap (the old absolute trigger was firing on measurement noise — device error on Styku's segmental lean-mass reading runs 2.6-3.6x larger than the old 0.5 lb figure, per an external evidence review). Recomputed against this client's actual numbers: Left Leg 13.8 lbs / Right Leg 14.3 lbs (0.5 lb gap) met the OLD trigger exactly but is only ~3.5% relative — it does NOT clear the corrected &gt;=10% threshold. Left Arm 5.8 lbs / Right Arm 6.1 lbs (0.3 lb gap, ~5% relative) stays below the trigger either way, no change there. Per this pass's explicit instruction, the left-leg-leads prescription already programmed into this document's exercise blocks (Single-Leg RDL, DB Split Squat) is left UNCHANGED pending a dedicated per-client review — this note exists to make the discrepancy visible for that review, not to resolve it silently. Flagged to the main thread/icons-expert.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days restructured onto the ICONS Block Method six-slot order (Corrective → Primary Compound → Accessory → Jason's Exercise → Secondary Compound → Third Compound/Integration), rendered exercise order unchanged except two additions. Slot 4 omitted both days (no Jason Bethea relationship on file — no filler); slot 1 served by the existing Control &amp; Alignment activation blocks (genuine client-specific priming, not generic filler). Day A: primary = Hex Bar Deadlift (own block); accessory = Hip Thrust + Lateral Raise; secondary = OHP/Incline Press/SL RDL block; integration = Farmer Carry + Plank + Pallof split into its own block, with the Zone 2 line moved to a separate Conditioning Close so the compound closer precedes the finisher. Day B: primary = Back Squat (own block); accessory = DB Split Squat + Face Pull (renamed Kieser or Band); secondary = rows + push press; Push-Up Progression &amp; Core retained as a standing baseline-protocol block; integration = NEW light Farmer Carry (2x25-30 yd, 15-20 lbs/hand — anchored below her tested 20 lbs/hand reference and Day A's working loads, no invented number); Zone 2 moved to its own closing block. Options menus on every compound slot, filtered by studio inventory and her early-intermediate/technique-first level (no ballistic/advanced variants); left-leads restated on unilateral options, no arm lead fabricated. Same pass: autoregulated recovery-week note added (per the deload protocol's lower-fatigue autoregulate case for a first-build client at light-moderate relative loads); 4-week strength / 8-12-week Styku cadence split stated; milestones8wk reworded off engine-function names (build jargon in an unfiltered summary string). The asymmetry-trigger flagged discrepancy (8/17) and left-leg-leads prescription are untouched by this restructure.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ACL/Knee-Valgus Circuit — Framing Corrected, Full Dose Not Yet Built In: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 Block A's hip-abductor/thoracic activation work was previously framed as omitted because "no elevated-risk ACL/knee-valgus finding is on file for Nicolette specifically" — that framing is corrected per CLAUDE.md's "ACL / Knee Valgus / Neuromuscular Injury-Prevention Circuit — trigger corrected 8/17/2026": the corrective/neuromuscular circuit is now universal programming for this population, not gated behind a positive visual screen. The block's intro line was reworded accordingly. Note this activation block is still lighter than the full evidenced dose (20-30 min, 1-2x/week, sustained beyond 6 months) that standard calls for — flagged as a candidate addition for a future revision (a new weekly time allocation, not just added exercises) rather than expanded here without a dedicated program-structure change.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2026-08-19T09:53:05.318Z</dcterms:created>
  <dcterms:modified xsi:type="dcterms:W3CDTF">2026-08-19T09:53:05.318Z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