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1–2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1–2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meets the ≥0.5 lb asymmetry threshold. LEFT leg leads all unilateral lower-body exercises. Log left vs. right loads separately in the coaching cue field. Reassess at the 8-week Styku rescan — asymmetry should reduce.</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~20g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LOWER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own the depth and bracing pattern before adding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tall, sit hips back, knees track over toes.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43A047"/>
          <w:sz w:val="17"/>
          <w:szCs w:val="17"/>
        </w:rPr>
        <w:t xml:space="preserve">B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Chin tucked, ribs down, drive through heels.</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p>
        </w:tc>
      </w:tr>
    </w:tbl>
    <w:p>
      <w:pPr>
        <w:spacing w:after="100"/>
      </w:pPr>
    </w:p>
    <w:p>
      <w:pPr>
        <w:spacing w:after="60" w:before="120"/>
      </w:pPr>
      <w:r>
        <w:rPr>
          <w:rFonts w:ascii="Arial" w:cs="Arial" w:eastAsia="Arial" w:hAnsi="Arial"/>
          <w:b/>
          <w:bCs/>
          <w:color w:val="C9A227"/>
          <w:sz w:val="17"/>
          <w:szCs w:val="17"/>
        </w:rPr>
        <w:t xml:space="preserve">C — UPPER PRESS &amp; CORE</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at reduced load with strict control — see clinical flag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standard screen for women's ACL/knee-valgus risk on single-leg patterns, and the entry point for closing the flagged leg asymmetry.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UNILATERAL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Left leg leads every set — always perform the left-side rep first while freshest.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p>
        </w:tc>
      </w:tr>
    </w:tbl>
    <w:p>
      <w:pPr>
        <w:spacing w:after="100"/>
      </w:pPr>
    </w:p>
    <w:p>
      <w:pPr>
        <w:spacing w:after="60" w:before="120"/>
      </w:pPr>
      <w:r>
        <w:rPr>
          <w:rFonts w:ascii="Arial" w:cs="Arial" w:eastAsia="Arial" w:hAnsi="Arial"/>
          <w:b/>
          <w:bCs/>
          <w:color w:val="C9A227"/>
          <w:sz w:val="17"/>
          <w:szCs w:val="17"/>
        </w:rPr>
        <w:t xml:space="preserve">C — ACCESSORY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C9A227"/>
          <w:sz w:val="17"/>
          <w:szCs w:val="17"/>
        </w:rPr>
        <w:t xml:space="preserve">A — PRIMARY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p>
        </w:tc>
      </w:tr>
    </w:tbl>
    <w:p>
      <w:pPr>
        <w:spacing w:after="100"/>
      </w:pPr>
    </w:p>
    <w:p>
      <w:pPr>
        <w:spacing w:after="60" w:before="120"/>
      </w:pPr>
      <w:r>
        <w:rPr>
          <w:rFonts w:ascii="Arial" w:cs="Arial" w:eastAsia="Arial" w:hAnsi="Arial"/>
          <w:b/>
          <w:bCs/>
          <w:color w:val="C9A227"/>
          <w:sz w:val="17"/>
          <w:szCs w:val="17"/>
        </w:rPr>
        <w:t xml:space="preserve">B — PULL</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Single-arm row trains the weaker right shoulder unilaterally under full control.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C — CORE &amp; CARRY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1–2 RIR. Hip thrust 55–60 lb × 5. Plank 60s. Right shoulder unilateral load within 20% of left on single-arm row.</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1–2 RIR.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2026-08-17T16:59:16.642Z</dcterms:created>
  <dcterms:modified xsi:type="dcterms:W3CDTF">2026-08-17T16:59:16.642Z</dcterms:modified>
</cp:coreProperties>
</file>

<file path=docProps/custom.xml><?xml version="1.0" encoding="utf-8"?>
<Properties xmlns="http://schemas.openxmlformats.org/officeDocument/2006/custom-properties" xmlns:vt="http://schemas.openxmlformats.org/officeDocument/2006/docPropsVTypes"/>
</file>