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4.66 kg/m², At-Risk — the top clinical priority), BMI trend (currently 17.4, Underweight),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2026-08-18T21:04:42.240Z</dcterms:created>
  <dcterms:modified xsi:type="dcterms:W3CDTF">2026-08-18T21:04:42.240Z</dcterms:modified>
</cp:coreProperties>
</file>

<file path=docProps/custom.xml><?xml version="1.0" encoding="utf-8"?>
<Properties xmlns="http://schemas.openxmlformats.org/officeDocument/2006/custom-properties" xmlns:vt="http://schemas.openxmlformats.org/officeDocument/2006/docPropsVTypes"/>
</file>