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 This same recommendation already appears in her separate Brace Life Improvement Report — added here too (8/17/2026, roster-wide research-coverage sweep) so it lives in the document she and her trainer actually train from week to week, not only in the progress-report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2026-08-17T15:36:19.345Z</dcterms:created>
  <dcterms:modified xsi:type="dcterms:W3CDTF">2026-08-17T15:36:19.346Z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