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falls in the Normal/monitor tier per our 3-tier table (&lt;5.5 At-Risk / 5.5-6.99 Normal-monitor / ≥7.0 Optimal), but only 0.02 kg/m² above the At-Risk cutoff — genuinely borderline, and worth close attention at the next rescan rather than treated as comfortably clear. VFA 62.0 cm² — Very Low Risk per our precise VFA table (&lt;70 cm² threshold); Styku's own dashboard tag on this scan reads "Low Risk," but our table's more precise banding places her in the more favorable Very Low Risk tier — using the correct, more precise tier here rather than Styku's coarser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Consistent with the Johanna Castillo precedent,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already reflect the 50+ escalation (2.0-2.2 g/kg, creatine strongly indicated) appropriate to either bracket.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Until confirmed, coach standard pelvic floor bracing and exhale-on-exertion cues verbally on all heavy hinge and squat work as a precaution, independent of what this document auto-generates.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B — PRIMARY PULL STRENGTH</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bent-over bilateral row rounds out the pulling volume, balancing the pressing work on Day B, before single-leg RDL closes the block on the posterior chain.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60" w:before="120"/>
      </w:pPr>
      <w:r>
        <w:rPr>
          <w:rFonts w:ascii="Arial" w:cs="Arial" w:eastAsia="Arial" w:hAnsi="Arial"/>
          <w:b/>
          <w:bCs/>
          <w:color w:val="43A047"/>
          <w:sz w:val="17"/>
          <w:szCs w:val="17"/>
        </w:rPr>
        <w:t xml:space="preserve">A — PRIMARY LOWER — SQUAT &amp; SPLIT SQUAT</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per the Johanna Castillo precedent.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VFA trend (currently 62.0 cm², Very Low Risk — maintain),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2026-08-12T16:07:55.493Z</dcterms:created>
  <dcterms:modified xsi:type="dcterms:W3CDTF">2026-08-12T16:07:55.494Z</dcterms:modified>
</cp:coreProperties>
</file>

<file path=docProps/custom.xml><?xml version="1.0" encoding="utf-8"?>
<Properties xmlns="http://schemas.openxmlformats.org/officeDocument/2006/custom-properties" xmlns:vt="http://schemas.openxmlformats.org/officeDocument/2006/docPropsVTypes"/>
</file>