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Full Scan Detail Lives in the Full-Gym Document:  </w:t>
      </w:r>
      <w:r>
        <w:rPr>
          <w:rFonts w:ascii="Arial" w:cs="Arial" w:eastAsia="Arial" w:hAnsi="Arial"/>
          <w:color w:val="2C2C2C"/>
          <w:sz w:val="17"/>
          <w:szCs w:val="17"/>
        </w:rPr>
        <w:t xml:space="preserve">ALST Index 5.52 kg/m² — Normal/monitor tier per CLAUDE.md's 3-tier table (NOT At-Risk), but only 0.02 kg/m² above the At-Risk cutoff — a genuine monitoring point for her 8-week rescan. VFA (Segmental Analysis) 20.1 cm² — presented as a trend/context figure to track over time rather than a risk-band label; CLAUDE.md's prior absolute VFA risk-band table (which this document previously cited to label this reading "Very Low Risk," itself a correction of Styku's own "Low Risk" dashboard label) was retired 8/17/2026 as unsupported by consensus guidance and by this scanner's own validation limits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lives in her companion 2-Day Full Gym Training Plan — the clinical facts and asymmetry protocol below apply identically here.</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E65100"/>
          <w:sz w:val="17"/>
          <w:szCs w:val="17"/>
        </w:rPr>
        <w:t xml:space="preserve">Asymmetry Trigger Recalculation — Flagged Discrepancy (8/17/2026):  </w:t>
      </w:r>
      <w:r>
        <w:rPr>
          <w:rFonts w:ascii="Arial" w:cs="Arial" w:eastAsia="Arial" w:hAnsi="Arial"/>
          <w:color w:val="2C2C2C"/>
          <w:sz w:val="17"/>
          <w:szCs w:val="17"/>
        </w:rPr>
        <w:t xml:space="preserve">CLAUDE.md's Asymmetry Protocol trigger was corrected 8/17/2026 from an absolute &gt;=0.5 lb L/R gap to a relative &gt;=10% gap (the old absolute trigger was firing on measurement noise, per an external evidence review). Recomputed against this client's actual numbers: Left Leg 13.8 lbs / Right Leg 14.3 lbs (0.5 lb gap) met the OLD trigger exactly but is only ~3.5% relative — it does NOT clear the corrected &gt;=10% threshold. Left Arm 5.8 lbs / Right Arm 6.1 lbs (0.3 lb gap, ~5% relative) stays below the trigger either way, no change there. Per this pass's explicit instruction, the left-leg-leads prescription already programmed into this document's exercise blocks (Single-Leg RDL, DB Split Squat) is left UNCHANGED pending a dedicated per-client review — this note exists to make the discrepancy visible for that review, not to resolve it silently. Same discrepancy already flagged in the companion full-gym document. Flagged to the main thread/icons-expert.</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84–84g/day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HINGE STRENGTH — DB SUBSTITUTES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DB Romanian Deadlift replaces Hex Bar Deadlift; DB Hip Thrust (bench-supported, double dumbbell across the hips) replaces the barbell version. Both are naturally lighter than their studio counterparts — the Hip Thrust in particular caps around 55-60 lbs total by Week 4 here versus 80 lbs total in the studio program, an equipment ceiling, not a strength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C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Same DB-based lifts as the full-gym version — no equipment substitution needed here. Seated overhead press (Epley 1RM ~12 lbs/hand) and incline chest press (Epley 1RM ~18 lbs/hand) both tested clean. Single-Leg RDL closes the block — left leg leads (weaker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D — LOADED CARRY, CORE &amp; CONDITIONING</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Farmer carry and suitcase carry double as the primary cardiovascular stimulus at 2 days/week — a hallway, driveway, or office corridor is enough space. Carry with both hands evenly on the Farmer Carry; the arm-to-arm difference here is minor, so no side-lead is applied there.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SQUAT &amp; LUNGE STRENGTH — DB SUBSTITUTES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DB Goblet Squat (single DB, held at chest) replaces Back Squat — naturally lighter than a barbell back squat by design, an equipment difference, not a regression. DB Split Squat is unchanged from the studio version (already DB-based) — left leg leads. DB Reverse Fly closes the block, replacing the cable/band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C — PRIMARY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bl>
    <w:p>
      <w:pPr>
        <w:spacing w:after="100"/>
      </w:pPr>
    </w:p>
    <w:p>
      <w:pPr>
        <w:spacing w:after="60" w:before="120"/>
      </w:pPr>
      <w:r>
        <w:rPr>
          <w:rFonts w:ascii="Arial" w:cs="Arial" w:eastAsia="Arial" w:hAnsi="Arial"/>
          <w:b/>
          <w:bCs/>
          <w:color w:val="43A047"/>
          <w:sz w:val="17"/>
          <w:szCs w:val="17"/>
        </w:rPr>
        <w:t xml:space="preserve">D — PUSH-UP PROGRESSION &amp; METABOLIC FINISHER</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 the finisher is a brief conditioning close, same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2026-08-17T20:36:07.797Z</dcterms:created>
  <dcterms:modified xsi:type="dcterms:W3CDTF">2026-08-17T20:36:07.797Z</dcterms:modified>
</cp:coreProperties>
</file>

<file path=docProps/custom.xml><?xml version="1.0" encoding="utf-8"?>
<Properties xmlns="http://schemas.openxmlformats.org/officeDocument/2006/custom-properties" xmlns:vt="http://schemas.openxmlformats.org/officeDocument/2006/docPropsVTypes"/>
</file>