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and for Vinz Feller's 7.55 kg/m² reading);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a genuinely different situation from Vinz Feller's document, where Styku's "Average" peer-comparison label diverged from an ACE "Obese" reading.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2026-08-14T15:27:34.490Z</dcterms:created>
  <dcterms:modified xsi:type="dcterms:W3CDTF">2026-08-14T15:27:34.490Z</dcterms:modified>
</cp:coreProperties>
</file>

<file path=docProps/custom.xml><?xml version="1.0" encoding="utf-8"?>
<Properties xmlns="http://schemas.openxmlformats.org/officeDocument/2006/custom-properties" xmlns:vt="http://schemas.openxmlformats.org/officeDocument/2006/docPropsVTypes"/>
</file>