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Consistent with the Johanna Castillo precedent,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per the Johanna Castillo precedent.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2026-08-17T17:03:04.153Z</dcterms:created>
  <dcterms:modified xsi:type="dcterms:W3CDTF">2026-08-17T17:03:04.153Z</dcterms:modified>
</cp:coreProperties>
</file>

<file path=docProps/custom.xml><?xml version="1.0" encoding="utf-8"?>
<Properties xmlns="http://schemas.openxmlformats.org/officeDocument/2006/custom-properties" xmlns:vt="http://schemas.openxmlformats.org/officeDocument/2006/docPropsVTypes"/>
</file>