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lands in the Normal/monitor tier (5.5-6.99) per CLAUDE.md's 3-tier table, NOT At-Risk — but it sits only 0.02 kg/m² above the At-Risk cutoff, close enough to flag as a genuine monitoring point for her 8-week rescan rather than a present-day clinical flag. VFA (Segmental Analysis): 20.1 cm² — Styku's own dashboard labels this "Low Risk," but per CLAUDE.md's VFA table (&lt;70 cm²) this correctly reads Very Low Risk.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2026-08-17T17:01:30.849Z</dcterms:created>
  <dcterms:modified xsi:type="dcterms:W3CDTF">2026-08-17T17:01:30.849Z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