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B5E20"/>
          <w:sz w:val="17"/>
          <w:szCs w:val="17"/>
        </w:rPr>
        <w:t xml:space="preserve">New Deadlift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You just set a new Hex Deadlift PR — 195 lbs × 5, up from your previous PR of 175 lbs. That's an estimated 1RM of 228 lbs. Every heavy set at this weight is a direct investment in your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Every set at this weight is a direct bone-density investment (LIFTMOR RCT standard ≥80% 1RM).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content above already trains at or near LIFTMOR's ≥80% 1RM standard, so the training stimulus is already in place; a DEXA scan would confirm formal candidacy and give a T-score baseline to track. No DEXA/T-score data is currently on file.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1–2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Every heavy set at ≥80% 1RM is a direct bone-density investment.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(Normal/monitor tier, just under the 7.0 Optimal threshold). Body Fat 27.1% (Fit — lower than 80% of peers). Lean Mass 78.4 lbs. Fat Mass 30.8 lbs. VFA 61.4 cm² — Very Low Risk.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2026-08-17T17:11:33.266Z</dcterms:created>
  <dcterms:modified xsi:type="dcterms:W3CDTF">2026-08-17T17:11:33.266Z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