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VFA Low Risk finding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00695C"/>
          <w:sz w:val="17"/>
          <w:szCs w:val="17"/>
        </w:rPr>
        <w:t xml:space="preserve">Styku Findings — Body Composition &amp; ALST:  </w:t>
      </w:r>
      <w:r>
        <w:rPr>
          <w:rFonts w:ascii="Arial" w:cs="Arial" w:eastAsia="Arial" w:hAnsi="Arial"/>
          <w:color w:val="2C2C2C"/>
          <w:sz w:val="17"/>
          <w:szCs w:val="17"/>
        </w:rPr>
        <w:t xml:space="preserve">Body Fat 36.5% (58.6 lbs fat mass) — Styku's own "Average" classification (35–39.9% band). Lean Mass 96.6 lbs (60.2%) carries Styku's "Ideal Lean Mass" flag — a genuinely positive marker. Bone Mass 5.3 lbs (3.3%). BMI 23.7 — Normal (18.5–24.9). Shape Score 70/100 — Good. ALST Index 6.32 kg/m²: Styku's own report labels this binary "Not At-Risk," which is technically correct against the EWGSOP2 &lt;5.5 kg/m² at-risk cutoff — but CLAUDE.md's governing 3-tier table for women (&lt;5.5 At-Risk / 5.5–6.99 Normal — monitor / ≥7.0 Optimal) places 6.32 in the Normal — monitor tier, not Optimal. That more nuanced table is the clinically governing read used throughout this program, not Styku's pass/fail label — ALST is worth tracking at the 8-week rescan to confirm it is trending toward, not away from, the 7.0 Optimal threshold.</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Low Risk) and ALST (6.32 kg/m², Normal — monitor) don't support an elevated cardiometabolic read on their own, and Lean Mass carries the positive "Ideal Lean Mass" flag noted above. The full picture is a healthy, monitor-tier profile, not one driven by any single number in isolation.</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a 1.4 lb gap, well above the 0.5 lb asymmetry-protocol trigger. LEFT leg is weaker (lower LST) and leads every unilateral lower-body exercise across this program; reps/loads are logged per side. Arms: Left 8.4 lbs / Right 8.5 lbs — only a 0.1 lb gap, below the 0.5 lb trigger, so arms are tracked as routine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Protein and creatine targets below reflect the 2.0–2.2 g/kg "50+" tier automatically, and creatine is strongly indicated by age alone regardless of ALST status.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despite squat, deadlift, hip thrust, and lunge content appearing across this program. Revisit this if symptom data becomes available at a future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STRENGTH — SQUAT &amp;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 the goal is a clean, repeatable pattern that becomes today's new baseline, not maximal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Seated overhead press tested at 15 lbs x8 (Epley 1RM ≈19 lbs). Given the frozen shoulder history, Week 1 trains conservatively below baseline (12.5 lbs) and progresses only as far as pain-free range allows, reaching 17.5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C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Rowing volume balances the pressing work above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per Styku's 1.4 lb segmental LST gap (16.8 vs 18.2 lbs) — well above the 0.5 lb asymmetry-protocol trigger.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STRENGTH — HIP THRUST &amp; SINGLE-LEG RDL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Hip Thrust tested at 55 lbs x8 (Epley 1RM ≈70 lbs); Week 1 trains at 55 lbs, climbing to 60 lbs by Week 4. Single-Leg RDL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LUNGE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Lunge tested at 15 lbs/hand x8 (Epley 1RM ≈19 lbs) — Week 1 trains at 12.5 lbs/hand, climbing to 17.5 lbs/hand by Week 4.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D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Farmers Carry tested at 30 lbs/hand — builds the deep spinal stabilizer strength that supports posture under all the compound lifts above.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E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1.4 lb segmental gap (16.8 vs 18.2 lbs), well above the 0.5 lb asymmetry trigger.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6.32 kg/m², Normal — monitor tier, not yet Optimal), VFA (currently 82.7 cm², Low Risk — maintain), left/right leg LST gap (baseline 1.4 lbs, target under 0.5),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2026-08-17T17:11:29.369Z</dcterms:created>
  <dcterms:modified xsi:type="dcterms:W3CDTF">2026-08-17T17:11:29.369Z</dcterms:modified>
</cp:coreProperties>
</file>

<file path=docProps/custom.xml><?xml version="1.0" encoding="utf-8"?>
<Properties xmlns="http://schemas.openxmlformats.org/officeDocument/2006/custom-properties" xmlns:vt="http://schemas.openxmlformats.org/officeDocument/2006/docPropsVTypes"/>
</file>