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E65100"/>
          <w:sz w:val="17"/>
          <w:szCs w:val="17"/>
        </w:rPr>
        <w:t xml:space="preserve">Segmental Asymmetry — Legs Meet the Protocol Trigger, Arms Do Not:  </w:t>
      </w:r>
      <w:r>
        <w:rPr>
          <w:rFonts w:ascii="Arial" w:cs="Arial" w:eastAsia="Arial" w:hAnsi="Arial"/>
          <w:color w:val="2C2C2C"/>
          <w:sz w:val="17"/>
          <w:szCs w:val="17"/>
        </w:rPr>
        <w:t xml:space="preserve">Left Leg LST 13.8 lbs / Right Leg LST 14.3 lbs — 0.5 lb gap, meets the Asymmetry Protocol trigger exactly. Left leg is the weaker side and leads every unilateral leg exercise in this program — Single-Leg RDL and DB Split Squat, same as the full-gym version. Left Arm LST 5.8 lbs / Right Arm LST 6.1 lbs — 0.3 lb gap, below the 0.5 lb trigger; noted, but the weaker-side-leads rule is NOT applied to arm work (Single-Arm Row, Farmers Carry).</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arm asymmetry (0.3 lb gap) sits below the 0.5 lb protocol trigger,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(arm asymmetry sits below the 0.5 lb trigger).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2026-08-17T17:11:32.838Z</dcterms:created>
  <dcterms:modified xsi:type="dcterms:W3CDTF">2026-08-17T17:11:32.838Z</dcterms:modified>
</cp:coreProperties>
</file>

<file path=docProps/custom.xml><?xml version="1.0" encoding="utf-8"?>
<Properties xmlns="http://schemas.openxmlformats.org/officeDocument/2006/custom-properties" xmlns:vt="http://schemas.openxmlformats.org/officeDocument/2006/docPropsVTypes"/>
</file>