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 runs 2.6–3.6× larger than 0.5 lb per an external evidence review. Recomputed against this client’s actual numbers: Left Leg 15.7 lbs / Right Leg 16.5 lbs is a 0.8 lb gap but only ~5.0% relative, which met the OLD trigger comfortably and does NOT clear the corrected ≥10% threshold. No arm segmental data is on file at all. Per the Nicolette Scott precedent, the left-leg-leads prescription already programmed throughout this document (Single-Leg Glute Bridge, Step-Up, Lateral Lunge, Single-Leg RDL, Suitcase Carry, Reverse Wall Lunge, Pistol Squat) is left UNCHANGED pending a dedicated per-client review — this note exists to make the discrepancy visible for that review, not to resolve it silently. A functional single-leg strength test would settle it; the corrected protocol prefers one over an imaging-derived lean-mass gap.</w:t>
      </w:r>
    </w:p>
    <w:p>
      <w:pPr>
        <w:spacing w:after="100"/>
      </w:pPr>
      <w:r>
        <w:rPr>
          <w:rFonts w:ascii="Arial" w:cs="Arial" w:eastAsia="Arial" w:hAnsi="Arial"/>
          <w:b/>
          <w:bCs/>
          <w:color w:val="E65100"/>
          <w:sz w:val="17"/>
          <w:szCs w:val="17"/>
        </w:rPr>
        <w:t xml:space="preserve">Clinical Framework Scope &amp; Data Gaps:  </w:t>
      </w:r>
      <w:r>
        <w:rPr>
          <w:rFonts w:ascii="Arial" w:cs="Arial" w:eastAsia="Arial" w:hAnsi="Arial"/>
          <w:color w:val="2C2C2C"/>
          <w:sz w:val="17"/>
          <w:szCs w:val="17"/>
        </w:rPr>
        <w:t xml:space="preserve">Age 35 places her at the 20–35 / 35–45 bracket boundary; no numeric threshold differs between them at this exact age. Protein sits at the active-women general 1.6 g/kg tier (neither ALST At-Risk nor 40+) and creatine is indicated, not strongly indicated. The "ICONS Index Full-Spectrum Progression Standard" is scoped to women 40–55 and is NOT applied to her as a requirement. Data gaps on file, none of them invented: her 6/17/2026 Styku record carries body fat %, lean mass, Shape Score and leg segmental LST only — no ALST index, VFA, BMI, bone mass, BMR or arm segmental LST — which is why no stykuBlock() renders and why no ALST-driven escalation is applied. Perimenopausal-status screening is not applicable at 35. No cardiac, OA, postpartum or GLP-1 flags are on file.</w:t>
      </w:r>
    </w:p>
    <w:p>
      <w:pPr>
        <w:spacing w:after="100"/>
      </w:pPr>
      <w:r>
        <w:rPr>
          <w:rFonts w:ascii="Arial" w:cs="Arial" w:eastAsia="Arial" w:hAnsi="Arial"/>
          <w:b/>
          <w:bCs/>
          <w:color w:val="E65100"/>
          <w:sz w:val="17"/>
          <w:szCs w:val="17"/>
        </w:rPr>
        <w:t xml:space="preserve">Document Provenance — First Engine Build (8/18/2026):  </w:t>
      </w:r>
      <w:r>
        <w:rPr>
          <w:rFonts w:ascii="Arial" w:cs="Arial" w:eastAsia="Arial" w:hAnsi="Arial"/>
          <w:color w:val="2C2C2C"/>
          <w:sz w:val="17"/>
          <w:szCs w:val="17"/>
        </w:rPr>
        <w:t xml:space="preserve">This is the first script-driven build of Kelly’s program. Her delivered .docx previously doubled as the engine’s byte-identical XML-audit reference, which is why she was the only client on the roster with no build script, no Client View, and no route for a documented safety finding to reach her document. The reference artifact is now frozen separately at system_documents/reference/Kelly_Mulroy_5Day_Training_Plan_ENGINE_REFERENCE.docx and is the engine standard going forward; this document is her live program and is revised like any other client’s. Program content below is reproduced verbatim from the frozen reference except for the clinical additions and RIR prescriptions dated 8/18/2026.</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110–110g/day</w:t>
      </w:r>
      <w:r>
        <w:rPr>
          <w:rFonts w:ascii="Arial" w:cs="Arial" w:eastAsia="Arial" w:hAnsi="Arial"/>
          <w:color w:val="6B6B6B"/>
          <w:sz w:val="15"/>
          <w:szCs w:val="15"/>
        </w:rPr>
        <w:t xml:space="preserve">  (1.6–1.6 g/kg — active women general tier)  </w:t>
      </w:r>
      <w:r>
        <w:rPr>
          <w:rFonts w:ascii="Arial" w:cs="Arial" w:eastAsia="Arial" w:hAnsi="Arial"/>
          <w:color w:val="2C2C2C"/>
          <w:sz w:val="17"/>
          <w:szCs w:val="17"/>
        </w:rPr>
        <w:t xml:space="preserve">~28g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00695C"/>
          <w:sz w:val="17"/>
          <w:szCs w:val="17"/>
        </w:rPr>
        <w:t xml:space="preserve">B — PRIMARY SQUAT STRENGTH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(below the 3RM range — focus is form, not load). Box squat at 40–45 lbs. Technique must be clean before load increases Thursday and Friday.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C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E53935"/>
          <w:sz w:val="17"/>
          <w:szCs w:val="17"/>
        </w:rPr>
        <w:t xml:space="preserve">E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light DB warm-up press 2×10, shoulder external rotation 10 each side.</w:t>
      </w:r>
    </w:p>
    <w:p>
      <w:pPr>
        <w:spacing w:after="60" w:before="120"/>
      </w:pPr>
      <w:r>
        <w:rPr>
          <w:rFonts w:ascii="Arial" w:cs="Arial" w:eastAsia="Arial" w:hAnsi="Arial"/>
          <w:b/>
          <w:bCs/>
          <w:color w:val="43A047"/>
          <w:sz w:val="17"/>
          <w:szCs w:val="17"/>
        </w:rPr>
        <w:t xml:space="preserve">A — PRIMARY PRESS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PRIMARY PULL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C — ACCESSORY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Cable/Band Adductor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cable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HINGE STRENGTH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HIP THRUST &amp; POSTERIOR CHAIN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light DB warm-up press 2×10. Longer warm-up than usual — Friday loads are heavy.</w:t>
      </w:r>
    </w:p>
    <w:p>
      <w:pPr>
        <w:spacing w:after="60" w:before="120"/>
      </w:pPr>
      <w:r>
        <w:rPr>
          <w:rFonts w:ascii="Arial" w:cs="Arial" w:eastAsia="Arial" w:hAnsi="Arial"/>
          <w:b/>
          <w:bCs/>
          <w:color w:val="E53935"/>
          <w:sz w:val="17"/>
          <w:szCs w:val="17"/>
        </w:rPr>
        <w:t xml:space="preserve">A — OVERHEAD &amp; VERTICAL PULL STRENGTH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Level 9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Cable Row (Wide Grip)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LOADED CARRY &amp; GRIP STRENGTH</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CORE, POSTURE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15 full push-ups unassisted. Pull-up at Level 6 or below. Deadlift at 90+ lbs. Farmer carry at 65 lbs/hand.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2026-08-18T15:42:36.984Z</dcterms:created>
  <dcterms:modified xsi:type="dcterms:W3CDTF">2026-08-18T15:42:36.985Z</dcterms:modified>
</cp:coreProperties>
</file>

<file path=docProps/custom.xml><?xml version="1.0" encoding="utf-8"?>
<Properties xmlns="http://schemas.openxmlformats.org/officeDocument/2006/custom-properties" xmlns:vt="http://schemas.openxmlformats.org/officeDocument/2006/docPropsVTypes"/>
</file>