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THU</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 the ICONS VFA risk table (&lt;70 Very Low Risk / 70–99 Low Risk / 100–149 Moderate Risk / ≥150 High Risk cm²) is validated sex-independent and applies to him directly; 70.0 sits right at the boundary of the Low Risk band.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10.0 lbs vs Right Arm LST 10.8 lbs (0.8 lb gap) and Left Leg LST 21.5 lbs vs Right Leg LST 22.7 lbs (1.2 lb gap) — the left side reads weaker on both the upper and lower body. Standard ICONS asymmetry protocol applied: left leads every unilateral exercise (single-arm row, split squat, single-leg RDL), the left/weaker side is logged separately from the right in the coaching cue, and any suitcase-style anti-lateral-flexion carry work has the left hand hold the load. Re-check both gaps at the 8-week Styku rescan — both should trend toward under 0.5 lbs.</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Vinz directly. Instead, this document uses the Male Client Programming Framework: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trending toward the upper end of that range is reasonable given his 40-59 bracket ("Midlife Androgen Decline &amp; Sarcopenia Onset") and the body-fat finding above, landing around 150–165g/day as a working target, at ~0.4 g/kg per meal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with weekly intensity deliberately varied (80% / 90% / 70%) rather than held flat, and every primary and secondary lift autoregulated on RIR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 2 RIR working sets, technique-first after the deadlift.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side per asymmetry note.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THURSDAY</w:t>
            </w:r>
          </w:p>
          <w:p>
            <w:pPr>
              <w:spacing w:after="30"/>
            </w:pPr>
            <w:r>
              <w:rPr>
                <w:rFonts w:ascii="Arial" w:cs="Arial" w:eastAsia="Arial" w:hAnsi="Arial"/>
                <w:b/>
                <w:bCs/>
                <w:color w:val="2C2C2C"/>
                <w:sz w:val="19"/>
                <w:szCs w:val="19"/>
              </w:rPr>
              <w:t xml:space="preserve">Upper Body Push/Pull (Peak)</w:t>
            </w:r>
          </w:p>
          <w:p>
            <w:r>
              <w:rPr>
                <w:rFonts w:ascii="Arial" w:cs="Arial" w:eastAsia="Arial" w:hAnsi="Arial"/>
                <w:b/>
                <w:bCs/>
                <w:color w:val="E53935"/>
                <w:sz w:val="14"/>
                <w:szCs w:val="14"/>
              </w:rPr>
              <w:t xml:space="preserve">PEAK INTENSITY DAY · NEAR-MAXIMAL PRESSING, FULL RECOVERY BETWEEN SETS</w:t>
            </w:r>
          </w:p>
        </w:tc>
      </w:tr>
    </w:tbl>
    <w:p>
      <w:pPr>
        <w:spacing w:after="100"/>
      </w:pPr>
    </w:p>
    <w:p>
      <w:pPr>
        <w:spacing w:after="100"/>
      </w:pPr>
      <w:r>
        <w:rPr>
          <w:rFonts w:ascii="Arial" w:cs="Arial" w:eastAsia="Arial" w:hAnsi="Arial"/>
          <w:b/>
          <w:bCs/>
          <w:sz w:val="17"/>
          <w:szCs w:val="17"/>
        </w:rPr>
        <w:t xml:space="preserve">90% Day:  </w:t>
      </w:r>
      <w:r>
        <w:rPr>
          <w:rFonts w:ascii="Arial" w:cs="Arial" w:eastAsia="Arial" w:hAnsi="Arial"/>
          <w:color w:val="2C2C2C"/>
          <w:sz w:val="17"/>
          <w:szCs w:val="17"/>
        </w:rPr>
        <w:t xml:space="preserve">Peak intensity for the week — near-maximal on the incline press. Rest fully between top sets;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for a peak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band/cable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E53935"/>
          <w:sz w:val="17"/>
          <w:szCs w:val="17"/>
        </w:rPr>
        <w:t xml:space="preserve">B — PRIMARY STRENGTH — INCLINE BENCH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50 lbs (90% of est. 1RM 57) — 1 RIR, peak-intensity day. Rest fully between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1 RIR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E53935"/>
          <w:sz w:val="17"/>
          <w:szCs w:val="17"/>
        </w:rPr>
        <w:t xml:space="preserve">C — SECONDARY — OVERHEAD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No percentage prescription — self-select load off the tested 35 lb reference at 1–2 RIR; establish a true Week 1 working weight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1–2 RIR.</w:t>
            </w:r>
          </w:p>
        </w:tc>
      </w:tr>
    </w:tbl>
    <w:p>
      <w:pPr>
        <w:spacing w:after="100"/>
      </w:pPr>
    </w:p>
    <w:p>
      <w:pPr>
        <w:spacing w:after="60" w:before="120"/>
      </w:pPr>
      <w:r>
        <w:rPr>
          <w:rFonts w:ascii="Arial" w:cs="Arial" w:eastAsia="Arial" w:hAnsi="Arial"/>
          <w:b/>
          <w:bCs/>
          <w:color w:val="6A1B9A"/>
          <w:sz w:val="17"/>
          <w:szCs w:val="17"/>
        </w:rPr>
        <w:t xml:space="preserve">D — PULL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Progress by reducing assistance from the tested 15-rep/grip assisted baseline (wide, standard, close) — track assistance level, not just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p>
        </w:tc>
      </w:tr>
    </w:tbl>
    <w:p>
      <w:pPr>
        <w:spacing w:after="100"/>
      </w:pPr>
    </w:p>
    <w:p>
      <w:pPr>
        <w:spacing w:after="60" w:before="120"/>
      </w:pPr>
      <w:r>
        <w:rPr>
          <w:rFonts w:ascii="Arial" w:cs="Arial" w:eastAsia="Arial" w:hAnsi="Arial"/>
          <w:b/>
          <w:bCs/>
          <w:color w:val="E53935"/>
          <w:sz w:val="17"/>
          <w:szCs w:val="17"/>
        </w:rPr>
        <w:t xml:space="preserve">E — ACCESSORY — SINGLE-ARM DB ROW</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70 lbs (from an approximate estimate off a 15-rep test) for 10–12 reps — left arm leads per the asymmetry note; log left vs. right separately.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leads — weaker side. Log L vs R reps.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Peak intensity day — near-maximal, 1 RIR on primary lifts. Full rest between top sets; this is not the day to rush between sets for the sake of session length.</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STRENGTH —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 2 RIR, moderate accumulation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2 RIR working sets.</w:t>
            </w:r>
          </w:p>
        </w:tc>
      </w:tr>
    </w:tbl>
    <w:p>
      <w:pPr>
        <w:spacing w:after="100"/>
      </w:pPr>
    </w:p>
    <w:p>
      <w:pPr>
        <w:spacing w:after="60" w:before="120"/>
      </w:pPr>
      <w:r>
        <w:rPr>
          <w:rFonts w:ascii="Arial" w:cs="Arial" w:eastAsia="Arial" w:hAnsi="Arial"/>
          <w:b/>
          <w:bCs/>
          <w:color w:val="43A047"/>
          <w:sz w:val="17"/>
          <w:szCs w:val="17"/>
        </w:rPr>
        <w:t xml:space="preserve">C — UNILATERAL LEG WORK</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Left leg leads every set — direct application of the standard asymmetry protocol (lower LST = weaker = leads unilateral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Even depth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p>
        </w:tc>
      </w:tr>
    </w:tbl>
    <w:p>
      <w:pPr>
        <w:spacing w:after="100"/>
      </w:pPr>
    </w:p>
    <w:p>
      <w:pPr>
        <w:spacing w:after="60" w:before="120"/>
      </w:pPr>
      <w:r>
        <w:rPr>
          <w:rFonts w:ascii="Arial" w:cs="Arial" w:eastAsia="Arial" w:hAnsi="Arial"/>
          <w:b/>
          <w:bCs/>
          <w:color w:val="C9A227"/>
          <w:sz w:val="17"/>
          <w:szCs w:val="17"/>
        </w:rPr>
        <w:t xml:space="preserve">D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40 lbs/hand — hold there this week and build from it as grip and trunk control allow.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E — CORE</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 lb plate / 1:35 weighted plank baseline — build hold time and/or load week to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1:35 baseline.</w:t>
            </w:r>
          </w:p>
        </w:tc>
      </w:tr>
    </w:tbl>
    <w:p>
      <w:pPr>
        <w:spacing w:after="100"/>
      </w:pPr>
    </w:p>
    <w:p>
      <w:pPr>
        <w:spacing w:after="60" w:before="120"/>
      </w:pPr>
      <w:r>
        <w:rPr>
          <w:rFonts w:ascii="Arial" w:cs="Arial" w:eastAsia="Arial" w:hAnsi="Arial"/>
          <w:b/>
          <w:bCs/>
          <w:color w:val="C9A227"/>
          <w:sz w:val="17"/>
          <w:szCs w:val="17"/>
        </w:rPr>
        <w:t xml:space="preserve">F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pull-up assistance; add load on press/row at 2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Farmers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distance/load; extend weighted plank hold time.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Reduce pull-up assistance by at least one increment per grip. Left-leads unilateral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Squat/Hip Thrust 155–165 x 6, Incline Bench 55–60 x 8, Single-Arm Row 70–75 x 10–12/side, Farmers Carry 50–55 lbs/hand, Weighted Plank 15–20 lb plate x 2:00+, Push-Ups 32–35 reps. Pull-up assistance meaningfully reduced across all three grips.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Shape Score, and left/right arm &amp; leg LST gap reduction (target: both gaps under 0.5 lbs), alongside the strength baselines table above.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2026-08-11T13:48:14.294Z</dcterms:created>
  <dcterms:modified xsi:type="dcterms:W3CDTF">2026-08-11T13:48:14.300Z</dcterms:modified>
</cp:coreProperties>
</file>

<file path=docProps/custom.xml><?xml version="1.0" encoding="utf-8"?>
<Properties xmlns="http://schemas.openxmlformats.org/officeDocument/2006/custom-properties" xmlns:vt="http://schemas.openxmlformats.org/officeDocument/2006/docPropsVTypes"/>
</file>