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CONDITIONING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Vinz Feller</w:t>
      </w:r>
    </w:p>
    <w:p>
      <w:pPr>
        <w:spacing w:after="100"/>
        <w:jc w:val="center"/>
      </w:pPr>
      <w:r>
        <w:rPr>
          <w:rFonts w:ascii="Arial" w:cs="Arial" w:eastAsia="Arial" w:hAnsi="Arial"/>
          <w:i/>
          <w:iCs/>
          <w:color w:val="6B6B6B"/>
          <w:sz w:val="17"/>
          <w:szCs w:val="17"/>
        </w:rPr>
        <w:t xml:space="preserve">Age 50  ·  Male  ·  5'10"  ·  165 lbs  ·  Styku Scan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THU</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Body Push/Pull</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&amp; Carries</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115.5 lbs (70.1%)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69/100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43.6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7.55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5.5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10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23.6</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10.8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1658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21.5 / 22.7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50% of Styku peer comparisons.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185 x 8 (est. 1RM 234)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205–210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155–160 lbs x 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155–165 lbs x 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x 8 (est. 1RM 57)</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 x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x 15/side (approx. est. 1RM 90)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lbs x 10–12/side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50–55 lbs/hand for 30–40m</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Weighted Plank</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 plate x 1:35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15–20 lb plate x 2:00+</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26 reps (bodyweight, full)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32–35 reps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 (Wide/Std/Close)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reps/grip,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Reduce assistance / progress toward 1–3 unassisted reps per grip</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115.5 lbs (70.1%), Fat Mass 43.6 lbs, Bone Mass 5.5 lbs (3.4%), BMR 1658 cal/day, Shape Score 69/100. ALST Index 7.55 kg/m² — EWGSOP2 2018's male low-muscle-mass cutoff is &lt;7.0 kg/m² AT-RISK / ≥7.0 kg/m² Not At-Risk (the same source already used for the women's 5.5 kg/m² threshold in this system); Vinz sits comfortably above the line. VFA 70.0 cm² — the ICONS VFA risk table (&lt;70 Very Low Risk / 70–99 Low Risk / 100–149 Moderate Risk / ≥150 High Risk cm²) is validated sex-independent and applies to him directly; 70.0 sits right at the boundary of the Low Risk band. BMI 23.6 falls in the WHO Normal range (18.5–24.9) — WHO BMI thresholds are not sex-specific. See the note below for why BMI, ALST, and body fat % need to be read together rather than any one in isolation.</w:t>
      </w:r>
    </w:p>
    <w:p>
      <w:pPr>
        <w:spacing w:after="100"/>
      </w:pPr>
      <w:r>
        <w:rPr>
          <w:rFonts w:ascii="Arial" w:cs="Arial" w:eastAsia="Arial" w:hAnsi="Arial"/>
          <w:b/>
          <w:bCs/>
          <w:color w:val="E65100"/>
          <w:sz w:val="17"/>
          <w:szCs w:val="17"/>
        </w:rPr>
        <w:t xml:space="preserve">Body Fat % &amp; BMI — Why These Need To Be Read Together:  </w:t>
      </w:r>
      <w:r>
        <w:rPr>
          <w:rFonts w:ascii="Arial" w:cs="Arial" w:eastAsia="Arial" w:hAnsi="Arial"/>
          <w:color w:val="2C2C2C"/>
          <w:sz w:val="17"/>
          <w:szCs w:val="17"/>
        </w:rPr>
        <w:t xml:space="preserve">Styku's Body Fat 26.5% carries the label "Average" — but that is a peer-comparison rank (lower body fat than 50% of Styku's user base), not an absolute health classification. Against the ACE body-fat-% reference for men (Essential 2–5% / Athletes 6–13% / Fitness 14–17% / Acceptable 18–24% / Obese 25%+), 26.5% falls in the Obese tier — a genuinely different read than "Average" suggests. His BMI of 23.6 is Normal per WHO thresholds, and his ALST of 7.55 kg/m² is Not At-Risk — but BMI should always be read alongside body fat % and ALST for a male client, not alone, especially for anyone visibly muscular. Vinz's profile isn't the over-flagged-muscular-athlete case that caution is usually written for; it's closer to the opposite — a normal-weight, non-sarcopenic client whose body composition, not his overall size, is the metric worth acting on.</w:t>
      </w:r>
    </w:p>
    <w:p>
      <w:pPr>
        <w:spacing w:after="100"/>
      </w:pPr>
      <w:r>
        <w:rPr>
          <w:rFonts w:ascii="Arial" w:cs="Arial" w:eastAsia="Arial" w:hAnsi="Arial"/>
          <w:b/>
          <w:bCs/>
          <w:color w:val="E65100"/>
          <w:sz w:val="17"/>
          <w:szCs w:val="17"/>
        </w:rPr>
        <w:t xml:space="preserve">Left-Side Asymmetry — Arms &amp; Legs:  </w:t>
      </w:r>
      <w:r>
        <w:rPr>
          <w:rFonts w:ascii="Arial" w:cs="Arial" w:eastAsia="Arial" w:hAnsi="Arial"/>
          <w:color w:val="2C2C2C"/>
          <w:sz w:val="17"/>
          <w:szCs w:val="17"/>
        </w:rPr>
        <w:t xml:space="preserve">Left Arm LST 10 lbs vs Right Arm LST 10.8 lbs (0.8 lb gap, left weaker) and Left Leg LST 21.5 lbs vs Right Leg LST 22.7 lbs (1.2 lb gap, left weaker) — the left side reads weaker on both the upper and lower body. Standard ICONS asymmetry protocol applied: left leads every unilateral exercise (single-arm row, split squat, single-leg RDL), the left/weaker side is logged separately from the right in the coaching cue, and any suitcase-style anti-lateral-flexion carry work has the left hand hold the load. Re-check both gaps at the 8-week Styku rescan — both should trend toward under 0.5 lbs.</w:t>
      </w:r>
    </w:p>
    <w:p>
      <w:pPr>
        <w:spacing w:after="100"/>
      </w:pPr>
      <w:r>
        <w:rPr>
          <w:rFonts w:ascii="Arial" w:cs="Arial" w:eastAsia="Arial" w:hAnsi="Arial"/>
          <w:b/>
          <w:bCs/>
          <w:color w:val="6A1B9A"/>
          <w:sz w:val="17"/>
          <w:szCs w:val="17"/>
        </w:rPr>
        <w:t xml:space="preserve">Male Client Programming Framework — What Was Applied Here:  </w:t>
      </w:r>
      <w:r>
        <w:rPr>
          <w:rFonts w:ascii="Arial" w:cs="Arial" w:eastAsia="Arial" w:hAnsi="Arial"/>
          <w:color w:val="2C2C2C"/>
          <w:sz w:val="17"/>
          <w:szCs w:val="17"/>
        </w:rPr>
        <w:t xml:space="preserve">ICONS's Evidence-Based Science Layer's five-bracket Age Bracket Programming Framework (protein/creatine g/kg tiers, ALST sarcopenia thresholds, the LIFTMOR postmenopausal bone-loading protocol, pelvic floor triggers) is derived from and validated for women 40s-60s navigating hormonal transitions — none of its numeric thresholds are applied to Vinz directly. Instead, this document uses the Male Client Programming Framework: his ALST, VFA, and BMI are interpreted above against real male-specific citations (EWGSOP2 2018, the sex-independent VFA table, WHO BMI thresholds read alongside the ACE body-fat-% classification), and his protein/creatine targets and the testosterone note below come from that framework's ISSN 2017 / Morton 2018 and Hildreth et al. 2024 sources rather than the women's tiers. What carries over unchanged from ICONS regardless of sex: the Isolated → Compound → Metabolic structural philosophy, RIR-based autoregulated progressive overload, corrective-before-compound sequencing, and the Styku segmental asymmetry protocol — all demographic-neutral principles, applied here on their own merits.</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74.8 kg that's roughly 120–165g/day; given both his age bracket (40+) and his ACE body-fat-% tier finding (see the Styku interpretation note above), the working target escalates to the top of that range — roughly 150–165g/day — at ~30g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50, Vinz Feller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 no injury or clinical flag reported at intake. This 3-day build applies the ICONS three-zone philosophy (Isolated activation/corrective work → Compound strength → Metabolic conditioning finisher) across a Lower Body / Upper Body / Full-Body split, with weekly intensity deliberately varied (80% / 90% / 70%) rather than held flat, and every primary and secondary lift autoregulated on RIR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HIP &amp; KNEE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hip/knee complex ahead of heavy hip-hinge and squat loading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185 lbs (80% of est. 1RM 234)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185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120 lbs (70% of est. 1RM 174) — 2 RIR working sets, technique-first after the deadlift.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CORE / CARRY-PREP ACCESSORY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side per asymmetry note.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2 — THURSDAY</w:t>
            </w:r>
          </w:p>
          <w:p>
            <w:pPr>
              <w:spacing w:after="30"/>
            </w:pPr>
            <w:r>
              <w:rPr>
                <w:rFonts w:ascii="Arial" w:cs="Arial" w:eastAsia="Arial" w:hAnsi="Arial"/>
                <w:b/>
                <w:bCs/>
                <w:color w:val="2C2C2C"/>
                <w:sz w:val="19"/>
                <w:szCs w:val="19"/>
              </w:rPr>
              <w:t xml:space="preserve">Upper Body Push/Pull (Peak)</w:t>
            </w:r>
          </w:p>
          <w:p>
            <w:r>
              <w:rPr>
                <w:rFonts w:ascii="Arial" w:cs="Arial" w:eastAsia="Arial" w:hAnsi="Arial"/>
                <w:b/>
                <w:bCs/>
                <w:color w:val="E53935"/>
                <w:sz w:val="14"/>
                <w:szCs w:val="14"/>
              </w:rPr>
              <w:t xml:space="preserve">PEAK INTENSITY DAY · NEAR-MAXIMAL PRESSING, FULL RECOVERY BETWEEN SETS</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Peak intensity for the week — near-maximal on the incline press. Rest fully between top sets; this is not the day to rush for the sake of session length. Strength builds confidence, and this is where it's earned.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corrective block below.</w:t>
      </w:r>
    </w:p>
    <w:p>
      <w:pPr>
        <w:spacing w:after="60" w:before="120"/>
      </w:pPr>
      <w:r>
        <w:rPr>
          <w:rFonts w:ascii="Arial" w:cs="Arial" w:eastAsia="Arial" w:hAnsi="Arial"/>
          <w:b/>
          <w:bCs/>
          <w:color w:val="E53935"/>
          <w:sz w:val="17"/>
          <w:szCs w:val="17"/>
        </w:rPr>
        <w:t xml:space="preserve">A — SHOULDER &amp; SCAPULAR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the scapular stabilizers ahead of heavy pressing and pulling — standard shoulder-health practice for a peak upper-body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ribs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band/cable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high; external rotation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 Push-Up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Protract/retract only; arms stay straight.</w:t>
            </w:r>
          </w:p>
        </w:tc>
      </w:tr>
    </w:tbl>
    <w:p>
      <w:pPr>
        <w:spacing w:after="100"/>
      </w:pPr>
    </w:p>
    <w:p>
      <w:pPr>
        <w:spacing w:after="60" w:before="120"/>
      </w:pPr>
      <w:r>
        <w:rPr>
          <w:rFonts w:ascii="Arial" w:cs="Arial" w:eastAsia="Arial" w:hAnsi="Arial"/>
          <w:b/>
          <w:bCs/>
          <w:color w:val="E53935"/>
          <w:sz w:val="17"/>
          <w:szCs w:val="17"/>
        </w:rPr>
        <w:t xml:space="preserve">B — PRIMARY STRENGTH — INCLINE BENCH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50 lbs (90% of est. 1RM 57) — 1 RIR, peak-intensity day. Rest fully between 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1 RIR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6A1B9A"/>
          <w:sz w:val="17"/>
          <w:szCs w:val="17"/>
        </w:rPr>
        <w:t xml:space="preserve">C — PULL — PULL-UP PROGRESSION</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Progress by reducing assistance from the tested 15-rep/grip assisted baseline (wide, standard, close) — track assistance level, not just reps.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(Wide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reduce assist vs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controlled descent.</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inside shoulder width; reduce assist vs test.</w:t>
            </w:r>
          </w:p>
        </w:tc>
      </w:tr>
    </w:tbl>
    <w:p>
      <w:pPr>
        <w:spacing w:after="100"/>
      </w:pPr>
    </w:p>
    <w:p>
      <w:pPr>
        <w:spacing w:after="60" w:before="120"/>
      </w:pPr>
      <w:r>
        <w:rPr>
          <w:rFonts w:ascii="Arial" w:cs="Arial" w:eastAsia="Arial" w:hAnsi="Arial"/>
          <w:b/>
          <w:bCs/>
          <w:color w:val="E53935"/>
          <w:sz w:val="17"/>
          <w:szCs w:val="17"/>
        </w:rPr>
        <w:t xml:space="preserve">D — SECONDARY — OVERHEAD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No percentage prescription — self-select load off the tested 35 lb reference at 1–2 RIR; establish a true Week 1 working weight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1–2 RIR.</w:t>
            </w:r>
          </w:p>
        </w:tc>
      </w:tr>
    </w:tbl>
    <w:p>
      <w:pPr>
        <w:spacing w:after="100"/>
      </w:pPr>
    </w:p>
    <w:p>
      <w:pPr>
        <w:spacing w:after="60" w:before="120"/>
      </w:pPr>
      <w:r>
        <w:rPr>
          <w:rFonts w:ascii="Arial" w:cs="Arial" w:eastAsia="Arial" w:hAnsi="Arial"/>
          <w:b/>
          <w:bCs/>
          <w:color w:val="E53935"/>
          <w:sz w:val="17"/>
          <w:szCs w:val="17"/>
        </w:rPr>
        <w:t xml:space="preserve">E — ACCESSORY — SINGLE-ARM DB ROW</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70 lbs (from an approximate estimate off a 15-rep test) for 10–12 reps — left arm leads per the asymmetry note; log left vs. right separately.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leads — weaker side. Log L vs R reps.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Peak intensity day — near-maximal, 1 RIR on primary lifts. Full rest between top sets; this is not the day to rush between sets for the sake of session length.</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set this week per the asymmetry note.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STRENGTH — HIP THRUST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Week 1 working load 120 lbs (70% of est. 1RM 174) — 2 RIR, moderate accumulation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ribs down. 2 RIR working sets.</w:t>
            </w:r>
          </w:p>
        </w:tc>
      </w:tr>
    </w:tbl>
    <w:p>
      <w:pPr>
        <w:spacing w:after="100"/>
      </w:pPr>
    </w:p>
    <w:p>
      <w:pPr>
        <w:spacing w:after="60" w:before="120"/>
      </w:pPr>
      <w:r>
        <w:rPr>
          <w:rFonts w:ascii="Arial" w:cs="Arial" w:eastAsia="Arial" w:hAnsi="Arial"/>
          <w:b/>
          <w:bCs/>
          <w:color w:val="43A047"/>
          <w:sz w:val="17"/>
          <w:szCs w:val="17"/>
        </w:rPr>
        <w:t xml:space="preserve">C — UNILATERAL LEG WORK</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Left leg leads every set — direct application of the standard asymmetry protocol (lower LST = weaker = leads unilateral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Even depth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Hips square, soft knee.</w:t>
            </w:r>
          </w:p>
        </w:tc>
      </w:tr>
    </w:tbl>
    <w:p>
      <w:pPr>
        <w:spacing w:after="100"/>
      </w:pPr>
    </w:p>
    <w:p>
      <w:pPr>
        <w:spacing w:after="60" w:before="120"/>
      </w:pPr>
      <w:r>
        <w:rPr>
          <w:rFonts w:ascii="Arial" w:cs="Arial" w:eastAsia="Arial" w:hAnsi="Arial"/>
          <w:b/>
          <w:bCs/>
          <w:color w:val="C9A227"/>
          <w:sz w:val="17"/>
          <w:szCs w:val="17"/>
        </w:rPr>
        <w:t xml:space="preserve">D — LOADED CARRIES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Tested at 40 lbs/hand — hold there this week and build from it as grip and trunk control allow.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E — CORE</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10 lb plate / 1:35 weighted plank baseline — build hold time and/or load week to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Plank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lb plate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1:35 baseline.</w:t>
            </w:r>
          </w:p>
        </w:tc>
      </w:tr>
    </w:tbl>
    <w:p>
      <w:pPr>
        <w:spacing w:after="100"/>
      </w:pPr>
    </w:p>
    <w:p>
      <w:pPr>
        <w:spacing w:after="60" w:before="120"/>
      </w:pPr>
      <w:r>
        <w:rPr>
          <w:rFonts w:ascii="Arial" w:cs="Arial" w:eastAsia="Arial" w:hAnsi="Arial"/>
          <w:b/>
          <w:bCs/>
          <w:color w:val="C9A227"/>
          <w:sz w:val="17"/>
          <w:szCs w:val="17"/>
        </w:rPr>
        <w:t xml:space="preserve">F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on a moderate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set this week per the asymmetry note.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Vinz Feller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pull-up assistance; add load on press/row at 2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Hip Thrust · Split Squat · Farmers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distance/load; extend weighted plank hold time.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Reduce pull-up assistance by at least one increment per grip. Left-leads unilateral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205–210 x 5, Back Squat/Hip Thrust 155–165 x 6, Incline Bench 55–60 x 8, Single-Arm Row 70–75 x 10–12/side, Farmers Carry 50–55 lbs/hand, Weighted Plank 15–20 lb plate x 2:00+, Push-Ups 32–35 reps. Pull-up assistance meaningfully reduced across all three grips.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Shape Score, and left/right arm &amp; leg LST gap reduction (target: both gaps under 0.5 lbs), alongside the strength baselines table above.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Vinz Feller.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Vinz Feller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VINZ FELLER  |  Full-Body Strength &amp; Conditioning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2026-08-16T15:05:47.094Z</dcterms:created>
  <dcterms:modified xsi:type="dcterms:W3CDTF">2026-08-16T15:05:47.106Z</dcterms:modified>
</cp:coreProperties>
</file>

<file path=docProps/custom.xml><?xml version="1.0" encoding="utf-8"?>
<Properties xmlns="http://schemas.openxmlformats.org/officeDocument/2006/custom-properties" xmlns:vt="http://schemas.openxmlformats.org/officeDocument/2006/docPropsVTypes"/>
</file>